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C2D11" w14:textId="77777777" w:rsidR="000B5410" w:rsidRDefault="00000000">
      <w:pPr>
        <w:spacing w:after="0" w:line="240" w:lineRule="auto"/>
        <w:jc w:val="center"/>
        <w:rPr>
          <w:rFonts w:ascii="Times New Roman" w:eastAsia="Times New Roman" w:hAnsi="Times New Roman" w:cs="Times New Roman"/>
          <w:b/>
          <w:bCs/>
          <w:smallCaps/>
          <w:sz w:val="24"/>
          <w:szCs w:val="24"/>
        </w:rPr>
      </w:pPr>
      <w:r>
        <w:rPr>
          <w:rFonts w:ascii="Times New Roman" w:eastAsia="Times New Roman" w:hAnsi="Times New Roman"/>
          <w:b/>
          <w:sz w:val="24"/>
        </w:rPr>
        <w:t>PARQUES TECNOLÓGICOS EM OPERAÇÃO NO PARANÁ: UMA ANÁLISE COMPARATIVA DE ESTRUTURA, GESTÃO E PRESENÇA EMPRESARIAL</w:t>
      </w:r>
    </w:p>
    <w:p w14:paraId="2739C53C" w14:textId="77777777" w:rsidR="000B5410" w:rsidRDefault="000B5410">
      <w:pPr>
        <w:spacing w:after="0" w:line="240" w:lineRule="auto"/>
        <w:jc w:val="center"/>
        <w:rPr>
          <w:rFonts w:ascii="Times New Roman" w:eastAsia="Times New Roman" w:hAnsi="Times New Roman" w:cs="Times New Roman"/>
          <w:sz w:val="24"/>
          <w:szCs w:val="24"/>
        </w:rPr>
      </w:pPr>
    </w:p>
    <w:p w14:paraId="6E50638A" w14:textId="77777777" w:rsidR="000B5410" w:rsidRDefault="00000000">
      <w:pPr>
        <w:spacing w:after="0" w:line="240" w:lineRule="auto"/>
        <w:jc w:val="center"/>
        <w:rPr>
          <w:rFonts w:ascii="Times New Roman" w:eastAsia="Times New Roman" w:hAnsi="Times New Roman" w:cs="Times New Roman"/>
          <w:b/>
          <w:bCs/>
          <w:sz w:val="24"/>
          <w:szCs w:val="24"/>
          <w:u w:val="single"/>
        </w:rPr>
      </w:pPr>
      <w:r>
        <w:rPr>
          <w:rFonts w:ascii="Times New Roman" w:hAnsi="Times New Roman"/>
          <w:sz w:val="24"/>
        </w:rPr>
        <w:t>Modalidade: Artigo Completo</w:t>
      </w:r>
    </w:p>
    <w:p w14:paraId="1D078FAF" w14:textId="77777777" w:rsidR="000B5410" w:rsidRDefault="000B5410">
      <w:pPr>
        <w:spacing w:after="0" w:line="240" w:lineRule="auto"/>
        <w:jc w:val="right"/>
        <w:rPr>
          <w:rFonts w:ascii="Times New Roman" w:eastAsia="Times New Roman" w:hAnsi="Times New Roman" w:cs="Times New Roman"/>
          <w:sz w:val="24"/>
          <w:szCs w:val="24"/>
        </w:rPr>
      </w:pPr>
    </w:p>
    <w:p w14:paraId="461FEB70" w14:textId="77777777" w:rsidR="000B5410"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Luiz Felipe Corso;</w:t>
      </w:r>
    </w:p>
    <w:p w14:paraId="519810BC" w14:textId="77777777" w:rsidR="000B5410"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Matheus Augusto Sehn Berte;</w:t>
      </w:r>
    </w:p>
    <w:p w14:paraId="51C6EF76" w14:textId="77777777" w:rsidR="000B5410"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Marciele Rosália Siveres;</w:t>
      </w:r>
    </w:p>
    <w:p w14:paraId="57DD62AC" w14:textId="77777777" w:rsidR="000B5410"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Marcel Augusto Colling;</w:t>
      </w:r>
    </w:p>
    <w:p w14:paraId="631F5466" w14:textId="77777777" w:rsidR="000B5410" w:rsidRDefault="00000000">
      <w:pPr>
        <w:spacing w:after="0" w:line="240" w:lineRule="auto"/>
        <w:jc w:val="right"/>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t>Angélica Patrícia Sommer Meurer.</w:t>
      </w:r>
    </w:p>
    <w:p w14:paraId="43F5A6D2" w14:textId="77777777" w:rsidR="000B5410" w:rsidRDefault="000B5410">
      <w:pPr>
        <w:spacing w:after="0" w:line="240" w:lineRule="auto"/>
        <w:jc w:val="right"/>
        <w:rPr>
          <w:rFonts w:ascii="Times New Roman" w:eastAsia="Times New Roman" w:hAnsi="Times New Roman" w:cs="Times New Roman"/>
          <w:sz w:val="24"/>
          <w:szCs w:val="24"/>
        </w:rPr>
      </w:pPr>
    </w:p>
    <w:p w14:paraId="420D90FE" w14:textId="77777777" w:rsidR="000B5410"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luiz.corso@alunos.bpkedu.com.br</w:t>
      </w:r>
    </w:p>
    <w:p w14:paraId="1D803DC9" w14:textId="77777777" w:rsidR="000B5410" w:rsidRDefault="000B5410">
      <w:pPr>
        <w:spacing w:after="0" w:line="240" w:lineRule="auto"/>
        <w:jc w:val="center"/>
        <w:rPr>
          <w:rFonts w:ascii="Times New Roman" w:eastAsia="Times New Roman" w:hAnsi="Times New Roman" w:cs="Times New Roman"/>
          <w:b/>
          <w:bCs/>
          <w:sz w:val="24"/>
          <w:szCs w:val="24"/>
          <w:u w:val="single"/>
        </w:rPr>
      </w:pPr>
    </w:p>
    <w:p w14:paraId="5BCF15DE" w14:textId="77777777" w:rsidR="000B541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b/>
          <w:sz w:val="24"/>
        </w:rPr>
        <w:t xml:space="preserve">RESUMO: </w:t>
      </w:r>
      <w:r>
        <w:rPr>
          <w:rFonts w:ascii="Times New Roman" w:eastAsia="Times New Roman" w:hAnsi="Times New Roman"/>
          <w:sz w:val="24"/>
        </w:rPr>
        <w:t>Este estudo analisa comparativamente os parques tecnológicos em operação no Paraná, com o objetivo de caracterizar suas estruturas, modelos de gestão, vocações tecnológicas e articulações institucionais e examinar como essas características se relacionam às diferentes escalas de presença empresarial observadas. O estado possui 36 parques tecnológicos credenciados pelo Sistema Estadual de Ambientes Promotores de Inovação do Paraná, dos quais 10 estão em operação e compõem o recorte empírico. A pesquisa é documental, aplicada, exploratória e descritiva, com abordagem qualitativa e método comparativo, utilizando dados secundários de fontes públicas. Foram examinados modelo de gestão, vocação tecnológica, articulação institucional, infraestrutura, mecanismos de apoio e presença empresarial. Os resultados evidenciam heterogeneidade de escala, especialização e governança, sem predominância de um único modelo. Infraestrutura especializada, mecanismos contínuos de incubação e aceleração, proximidade com instituições de ensino e pesquisa, conexão com o setor produtivo e alinhamento às vocações regionais aparecem de forma recorrente, porém em diferentes combinações e intensidades. Conclui-se que a presença empresarial deve ser interpretada como indicador descritivo de escala, considerando as categorias próprias adotadas por cada parque.</w:t>
      </w:r>
    </w:p>
    <w:p w14:paraId="3286DB49" w14:textId="77777777" w:rsidR="000B5410" w:rsidRDefault="00000000">
      <w:pPr>
        <w:spacing w:before="120" w:after="160" w:line="240" w:lineRule="auto"/>
        <w:jc w:val="both"/>
        <w:rPr>
          <w:rFonts w:ascii="Times New Roman" w:hAnsi="Times New Roman"/>
          <w:sz w:val="24"/>
        </w:rPr>
      </w:pPr>
      <w:r>
        <w:rPr>
          <w:rFonts w:ascii="Times New Roman" w:hAnsi="Times New Roman"/>
          <w:b/>
          <w:sz w:val="24"/>
        </w:rPr>
        <w:t xml:space="preserve">Palavras-chave: </w:t>
      </w:r>
      <w:r>
        <w:rPr>
          <w:rFonts w:ascii="Times New Roman" w:hAnsi="Times New Roman"/>
          <w:sz w:val="24"/>
        </w:rPr>
        <w:t>Parques tecnológicos; presença empresarial; ecossistemas de inovação; Hélice Tríplice; Paraná.</w:t>
      </w:r>
    </w:p>
    <w:p w14:paraId="1372270F" w14:textId="77777777" w:rsidR="000B0BE8" w:rsidRDefault="000B0BE8">
      <w:pPr>
        <w:spacing w:before="120" w:after="160" w:line="240" w:lineRule="auto"/>
        <w:jc w:val="both"/>
        <w:rPr>
          <w:rFonts w:ascii="Times New Roman" w:eastAsia="Times New Roman" w:hAnsi="Times New Roman" w:cs="Times New Roman"/>
          <w:sz w:val="24"/>
          <w:szCs w:val="24"/>
        </w:rPr>
      </w:pPr>
    </w:p>
    <w:p w14:paraId="7A976019" w14:textId="77777777" w:rsidR="000B5410" w:rsidRDefault="00000000" w:rsidP="000B0BE8">
      <w:pPr>
        <w:keepNext/>
        <w:spacing w:before="280" w:after="0" w:line="360" w:lineRule="auto"/>
        <w:jc w:val="both"/>
        <w:rPr>
          <w:rFonts w:ascii="Times New Roman" w:eastAsia="Times New Roman" w:hAnsi="Times New Roman" w:cs="Times New Roman"/>
          <w:b/>
          <w:bCs/>
          <w:color w:val="FF0000"/>
          <w:sz w:val="24"/>
          <w:szCs w:val="24"/>
        </w:rPr>
      </w:pPr>
      <w:r>
        <w:rPr>
          <w:rFonts w:ascii="Times New Roman" w:eastAsia="Times New Roman" w:hAnsi="Times New Roman" w:cs="Times New Roman"/>
          <w:b/>
          <w:bCs/>
          <w:sz w:val="24"/>
          <w:szCs w:val="24"/>
        </w:rPr>
        <w:t>1 INTRODUÇÃO</w:t>
      </w:r>
    </w:p>
    <w:p w14:paraId="1C4EA475" w14:textId="77777777" w:rsidR="000B5410" w:rsidRDefault="00000000" w:rsidP="000B0BE8">
      <w:pPr>
        <w:shd w:val="clear" w:color="auto" w:fill="FFFFFF"/>
        <w:spacing w:before="280"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parques tecnológicos constituem ambientes voltados à aproximação entre conhecimento científico, desenvolvimento tecnológico e atividade empresarial. Ao combinar infraestrutura, pesquisa, serviços especializados e mecanismos de apoio, favorecem a interação entre universidades, empresas e poder público e a transformação de conhecimento em inovação (Steiner; Cassim; Robazzi, 2008; Faria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2025). O levantamento nacional de 2025 identificou 113 iniciativas no Brasil, sendo 64 em operação, 42 em implantação e 7 em planejamento; os parques em operação reuniam 2.706 empresas e organizações vinculadas (Faria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2025).</w:t>
      </w:r>
    </w:p>
    <w:p w14:paraId="1007DC45"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capacidade desses ambientes não depende apenas da disponibilidade de espaço físico. A formação de redes, a circulação de conhecimento e o desenvolvimento de soluções com aplicação econômica exigem articulação institucional. Essa perspectiva encontra fundamento no modelo da </w:t>
      </w:r>
      <w:r>
        <w:rPr>
          <w:rFonts w:ascii="Times New Roman" w:eastAsia="Times New Roman" w:hAnsi="Times New Roman" w:cs="Times New Roman"/>
          <w:sz w:val="24"/>
          <w:szCs w:val="24"/>
        </w:rPr>
        <w:lastRenderedPageBreak/>
        <w:t>Hélice Tríplice, no qual universidade, empresa e governo assumem funções complementares na construção de ambientes favoráveis à inovação (Etzkowitz; Leydesdorff, 2000; Etzkowitz; Zhou, 2017).</w:t>
      </w:r>
    </w:p>
    <w:p w14:paraId="189A0CA6"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Paraná, o Sistema Estadual de Ambientes Promotores de Inovação do Paraná (SEPARTEC) registra 36 parques tecnológicos credenciados, sendo 10 em operação, 11 em implantação e 15 em planejamento (Paraná, 2026). Em 2025, a Secretaria da Ciência, Tecnologia e Ensino Superior (SETI) iniciou uma avaliação técnica específica dos 10 parques em operação, 3 localizados em Curitiba e em sete municípios do interior, considerando gestão, conformidade institucional, empreendedorismo, parcerias, desenvolvimento tecnológico, infraestrutura e impacto no ecossistema (Paraná, 2025).</w:t>
      </w:r>
    </w:p>
    <w:p w14:paraId="68E3FE04"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distinção entre parques em operação e iniciativas em implantação ou planejamento é relevante para a comparação. Ambientes ainda em estruturação podem não dispor de infraestrutura concluída, carteira empresarial consolidada ou mecanismos permanentes de apoio. Assim, os 36 parques compõem o universo estadual utilizado para contextualização, enquanto os 10 ambientes em operação constituem o recorte empírico desta pesquisa.</w:t>
      </w:r>
    </w:p>
    <w:p w14:paraId="0D94C4C2" w14:textId="77777777" w:rsidR="000B5410" w:rsidRDefault="00000000" w:rsidP="000B0BE8">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Nesse contexto, a investigação busca responder à seguinte pergunta-problema: quais características estruturais, organizacionais e institucionais diferenciam os parques tecnológicos em operação no Paraná e como se relacionam às diferentes escalas de presença empresarial observadas?</w:t>
      </w:r>
    </w:p>
    <w:p w14:paraId="1F4D1022"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O objetivo geral consiste em analisar comparativamente os parques tecnológicos em operação no Paraná, caracterizando seus modelos de gestão, infraestrutura, vocações tecnológicas e articulações institucionais e examinando como essas características se relacionam às diferentes escalas de presença empresarial observadas.</w:t>
      </w:r>
    </w:p>
    <w:p w14:paraId="6A70B108"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alcançar esse objetivo, foram definidos os seguintes objetivos específicos:</w:t>
      </w:r>
    </w:p>
    <w:p w14:paraId="00446118"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caracterizar a estrutura, o modelo de gestão e a vocação tecnológica dos parques tecnológicos em operação no Paraná;</w:t>
      </w:r>
    </w:p>
    <w:p w14:paraId="5A4D7962"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sdt>
        <w:sdtPr>
          <w:tag w:val="goog_rdk_0"/>
          <w:id w:val="1286781913"/>
        </w:sdtPr>
        <w:sdtContent/>
      </w:sdt>
      <w:r>
        <w:rPr>
          <w:rFonts w:ascii="Times New Roman" w:eastAsia="Times New Roman" w:hAnsi="Times New Roman"/>
          <w:sz w:val="24"/>
        </w:rPr>
        <w:t>b) comparar os indicadores de presença empresarial, considerando as diferentes categorias de vínculo divulgadas pelas instituições;</w:t>
      </w:r>
    </w:p>
    <w:p w14:paraId="6936901F"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analisar como a articulação entre universidades, empresas e governo, fundamentada no modelo da Hélice Tríplice, manifesta-se nos parques estudados;</w:t>
      </w:r>
    </w:p>
    <w:p w14:paraId="6D43F696"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d) identificar características recorrentes e diferenças entre os parques quanto à infraestrutura, aos mecanismos de apoio e à articulação institucional.</w:t>
      </w:r>
    </w:p>
    <w:p w14:paraId="6357C5F6"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delimitação também responde à heterogeneidade registrada na literatura. Estudos comparativos mostram que diferenças de governança, infraestrutura, vínculo universitário, especialização e serviços alteram a forma de atuação dos parques (Pessôa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2012; Bolliger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2025). Em vez de pressupor um modelo ideal, torna-se mais adequado observar quais características se repetem nos ambientes com maior densidade empresarial e capacidade de articulação.</w:t>
      </w:r>
    </w:p>
    <w:p w14:paraId="395256BE"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No Paraná, a comparação é favorecida pela diversidade territorial e produtiva. Os casos analisados abrangem saúde, indústria, tecnologia da informação, agronegócio, bioeconomia, energia e inovação aberta. A contribuição do estudo está, portanto, na caracterização comparativa dessas estruturas e na identificação de diferenças de gestão, especialização, mecanismos de apoio e presença empresarial, sem estabelecer classificação ou hierarquia entre os parques.</w:t>
      </w:r>
    </w:p>
    <w:p w14:paraId="26D691D7" w14:textId="77777777" w:rsidR="000B5410" w:rsidRDefault="000B5410" w:rsidP="000B0BE8">
      <w:pPr>
        <w:shd w:val="clear" w:color="auto" w:fill="FFFFFF"/>
        <w:spacing w:after="0" w:line="240" w:lineRule="auto"/>
        <w:ind w:firstLine="720"/>
        <w:jc w:val="both"/>
        <w:rPr>
          <w:rFonts w:ascii="Times New Roman" w:eastAsia="Times New Roman" w:hAnsi="Times New Roman" w:cs="Times New Roman"/>
          <w:b/>
          <w:bCs/>
          <w:sz w:val="24"/>
          <w:szCs w:val="24"/>
        </w:rPr>
      </w:pPr>
    </w:p>
    <w:p w14:paraId="10A59E47" w14:textId="77777777" w:rsidR="000B5410" w:rsidRDefault="00000000" w:rsidP="000B0BE8">
      <w:pPr>
        <w:keepNext/>
        <w:pBdr>
          <w:top w:val="nil"/>
          <w:left w:val="nil"/>
          <w:bottom w:val="nil"/>
          <w:right w:val="nil"/>
          <w:between w:val="nil"/>
        </w:pBdr>
        <w:spacing w:before="280"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sz w:val="24"/>
          <w:szCs w:val="24"/>
        </w:rPr>
        <w:lastRenderedPageBreak/>
        <w:t>2 REFERENCIAL TEÓRICO</w:t>
      </w:r>
    </w:p>
    <w:p w14:paraId="3CB5D3F9" w14:textId="77777777" w:rsidR="000B5410" w:rsidRDefault="00000000" w:rsidP="000B0BE8">
      <w:pPr>
        <w:shd w:val="clear" w:color="auto" w:fill="FFFFFF"/>
        <w:spacing w:before="280"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Os ecossistemas de inovação podem ser compreendidos como ambientes nos quais diferentes agentes interagem para produzir, compartilhar e aplicar conhecimento. Empresas, universidades, instituições científicas, governo e organizações de apoio assumem funções distintas e interdependentes, formando redes que favorecem aprendizagem, inovação e desenvolvimento regional (Cassiolato; Lastres, 2005).</w:t>
      </w:r>
    </w:p>
    <w:p w14:paraId="2691CA8E"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Nesse contexto, os parques tecnológicos atuam como organizações intermediárias. A Associação Nacional de Entidades Promotoras de Empreendimentos Inovadores (ANPROTEC, 2019) destaca que, além da infraestrutura física, esses ambientes podem reunir incubadoras, aceleradoras, laboratórios, serviços tecnológicos e mecanismos de aproximação entre pesquisa e mercado. Faria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(2025) reforçam essa interpretação ao caracterizar os parques como ambientes capazes de mobilizar atores e recursos e converter conhecimento científico e tecnológico em atividades de inovação.</w:t>
      </w:r>
    </w:p>
    <w:p w14:paraId="42146DEC"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O modelo da Hélice Tríplice constitui uma das principais bases teóricas para compreender essa interação. Etzkowitz e Leydesdorff (2000) propõem que o desenvolvimento baseado no conhecimento ocorre mediante relações próximas entre universidade, indústria e governo. Nesse arranjo, as universidades ampliam sua participação no desenvolvimento econômico, as empresas transformam conhecimento em aplicações e o poder público cria condições institucionais e instrumentos de apoio.</w:t>
      </w:r>
    </w:p>
    <w:p w14:paraId="24C9C363"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Etzkowitz e Zhou (2017) destacam que a Hélice Tríplice não pressupõe papéis rígidos. As esferas preservam suas funções centrais, mas desenvolvem relações mais intensas e, em determinadas situações, incorporam atribuições tradicionalmente associadas aos outros atores. Nos parques, essa interação pode ocorrer por projetos cooperativos, pesquisa aplicada, incubação, compartilhamento de infraestrutura e financiamento da inovação.</w:t>
      </w:r>
    </w:p>
    <w:p w14:paraId="6B597FD5"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Existem modelos ampliados de análise dos ecossistemas de inovação, que incorporam outras dimensões sociais e ambientais (Carayannis; Campbell, 2012). Entretanto, a Hélice Tríplice é adequada ao objeto deste estudo porque os parques tecnológicos se estruturam, em grande medida, como intermediários entre conhecimento científico, atividade empresarial e mecanismos institucionais de apoio.</w:t>
      </w:r>
    </w:p>
    <w:p w14:paraId="638A0A89"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sz w:val="24"/>
        </w:rPr>
        <w:t xml:space="preserve">A presença e o desenvolvimento de empresas nesses ambientes não dependem exclusivamente de vínculos institucionais. Infraestrutura especializada, organização da governança, serviços de apoio, capacidade de articulação e proximidade com universidades e setores produtivos interferem nas condições oferecidas às empresas (Steiner; Cassim; Robazzi, 2008; Pessôa </w:t>
      </w:r>
      <w:r>
        <w:rPr>
          <w:rFonts w:ascii="Times New Roman" w:eastAsia="Times New Roman" w:hAnsi="Times New Roman"/>
          <w:i/>
          <w:sz w:val="24"/>
        </w:rPr>
        <w:t>et al.</w:t>
      </w:r>
      <w:r>
        <w:rPr>
          <w:rFonts w:ascii="Times New Roman" w:eastAsia="Times New Roman" w:hAnsi="Times New Roman"/>
          <w:sz w:val="24"/>
        </w:rPr>
        <w:t xml:space="preserve">, 2012). Bolliger </w:t>
      </w:r>
      <w:r>
        <w:rPr>
          <w:rFonts w:ascii="Times New Roman" w:eastAsia="Times New Roman" w:hAnsi="Times New Roman"/>
          <w:i/>
          <w:sz w:val="24"/>
        </w:rPr>
        <w:t>et al.</w:t>
      </w:r>
      <w:r>
        <w:rPr>
          <w:rFonts w:ascii="Times New Roman" w:eastAsia="Times New Roman" w:hAnsi="Times New Roman"/>
          <w:sz w:val="24"/>
        </w:rPr>
        <w:t xml:space="preserve"> (2025) também demonstram que os parques brasileiros apresentam configurações distintas e não devem ser tratados como estruturas equivalentes.</w:t>
      </w:r>
    </w:p>
    <w:p w14:paraId="41C302DC"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O tempo de consolidação é outro elemento relevante. Faria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(2025) identificaram idade média próxima de 12 anos entre os parques brasileiros e mostraram que ocupação e desenvolvimento ocorrem gradualmente. A idade institucional pode explicar parte das diferenças, mas precisa ser analisada em conjunto com gestão, capacidade de investimento, infraestrutura e redes institucionais.</w:t>
      </w:r>
    </w:p>
    <w:p w14:paraId="71518AA2"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sz w:val="24"/>
        </w:rPr>
        <w:t>Assim, as diferenças de presença empresarial entre parques são analisadas neste estudo em conjunto com recursos físicos, conhecimento, serviços empresariais, especialização tecnológica e articulação institucional, sem pressupor superioridade de determinada natureza jurídica ou vocação. Essa perspectiva também evita tratar o número de empresas como medida isolada de desempenho.</w:t>
      </w:r>
    </w:p>
    <w:p w14:paraId="60406B73" w14:textId="77777777" w:rsidR="000B5410" w:rsidRDefault="000B5410" w:rsidP="000B0BE8">
      <w:pPr>
        <w:shd w:val="clear" w:color="auto" w:fill="FFFFFF"/>
        <w:spacing w:after="0" w:line="240" w:lineRule="auto"/>
        <w:ind w:firstLine="720"/>
        <w:jc w:val="both"/>
        <w:rPr>
          <w:rFonts w:ascii="Times New Roman" w:eastAsia="Times New Roman" w:hAnsi="Times New Roman" w:cs="Times New Roman"/>
          <w:b/>
          <w:bCs/>
          <w:sz w:val="24"/>
          <w:szCs w:val="24"/>
        </w:rPr>
      </w:pPr>
    </w:p>
    <w:p w14:paraId="22670BB2" w14:textId="77777777" w:rsidR="000B5410" w:rsidRDefault="00000000" w:rsidP="000B0BE8">
      <w:pPr>
        <w:keepNext/>
        <w:shd w:val="clear" w:color="auto" w:fill="FFFFFF"/>
        <w:spacing w:before="28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3 </w:t>
      </w:r>
      <w:sdt>
        <w:sdtPr>
          <w:tag w:val="goog_rdk_1"/>
          <w:id w:val="-555549953"/>
        </w:sdtPr>
        <w:sdtContent/>
      </w:sdt>
      <w:r>
        <w:rPr>
          <w:rFonts w:ascii="Times New Roman" w:eastAsia="Times New Roman" w:hAnsi="Times New Roman" w:cs="Times New Roman"/>
          <w:b/>
          <w:bCs/>
          <w:sz w:val="24"/>
          <w:szCs w:val="24"/>
        </w:rPr>
        <w:t>PROCEDIMENTOS METODOLÓGICOS</w:t>
      </w:r>
    </w:p>
    <w:p w14:paraId="66387B3C" w14:textId="77777777" w:rsidR="000B5410" w:rsidRDefault="00000000" w:rsidP="000B0BE8">
      <w:pPr>
        <w:shd w:val="clear" w:color="auto" w:fill="FFFFFF"/>
        <w:spacing w:before="280" w:after="0" w:line="240" w:lineRule="auto"/>
        <w:ind w:firstLine="720"/>
        <w:jc w:val="both"/>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A pesquisa caracteriza-se como aplicada, exploratória e descritiva, com abordagem qualitativa. Busca produzir conhecimento útil à gestão de ambientes de inovação e, simultaneamente, sistematizar características que permitam comparar os parques tecnológicos paranaenses. Os dados quantitativos têm função descritiva, sem tratamento estatístico inferencial.</w:t>
      </w:r>
    </w:p>
    <w:p w14:paraId="1FDCA941"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sdt>
        <w:sdtPr>
          <w:tag w:val="goog_rdk_2"/>
          <w:id w:val="-104616142"/>
        </w:sdtPr>
        <w:sdtContent/>
      </w:sdt>
      <w:r>
        <w:rPr>
          <w:rFonts w:ascii="Times New Roman" w:eastAsia="Times New Roman" w:hAnsi="Times New Roman"/>
          <w:sz w:val="24"/>
        </w:rPr>
        <w:t>Quanto aos procedimentos técnicos, trata-se de pesquisa documental baseada exclusivamente em dados secundários e públicos. Foram consultados sites institucionais dos parques, páginas de órgãos públicos, documentos de credenciamento, relatórios, publicações institucionais e estudos acadêmicos. Não houve coleta primária junto aos parques analisados. A coleta foi atualizada até setembro de 2026, priorizando fontes oficiais e informações publicadas pelas próprias instituições.</w:t>
      </w:r>
    </w:p>
    <w:p w14:paraId="6F55F123"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universo contextual é composto pelos 36 parques tecnológicos credenciados no Paraná. O recorte empírico corresponde à totalidade dos 10 parques classificados como em operação pela SETI e pelo SEPARTEC, configurando análise censitária desse subgrupo. Os parques em implantação e planejamento foram excluídos da comparação principal para reduzir diferenças decorrentes do estágio de estruturação (Paraná, 2025; Paraná, 2026).</w:t>
      </w:r>
    </w:p>
    <w:p w14:paraId="4F10B357"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Foram observados modelo de gestão, marco institucional, vocação tecnológica, instituições-chave, presença empresarial, infraestrutura, mecanismos de incubação e aceleração e articulação entre universidade, empresas e governo. Essas dimensões dialogam com os eixos utilizados pelo Governo do Paraná na avaliação dos parques em operação, relacionados à gestão, ao empreendedorismo e inovação e ao desenvolvimento tecnológico (Paraná, 2025).</w:t>
      </w:r>
    </w:p>
    <w:p w14:paraId="4EBCF289"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Para fins comparativos, adotou-se a expressão “presença empresarial” como categoria analítica abrangente. Foram considerados os quantitativos publicamente divulgados pelas instituições como empresas residentes, incubadas, associadas, parceiras, em desenvolvimento ou explicitamente vinculadas ao respectivo ecossistema. Inscrições em programas, participantes de eventos e projetos sem vínculo empresarial declarado foram excluídos. Como essas categorias não são equivalentes, os valores foram utilizados apenas como indicadores descritivos de escala e sua natureza original foi preservada no Quadro 1. Quando não havia quantitativo institucional atual, adotou-se estimativa pontual baseada nos registros públicos mais recentes, assinalada com asterisco.</w:t>
      </w:r>
    </w:p>
    <w:p w14:paraId="41B15B1E"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análise foi conduzida pelo método comparativo qualitativo. Lijphart (1971) apresenta o método comparativo como alternativa para a investigação sistemática de um número limitado de casos, enquanto Ragin (1987) enfatiza uma abordagem orientada aos casos e às combinações de características.</w:t>
      </w:r>
    </w:p>
    <w:p w14:paraId="4C017693"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A comparação não pretende estabelecer relações causais nem produzir classificação dos parques. Busca identificar semelhanças e diferenças entre os casos quanto à presença empresarial, à estrutura de apoio e à articulação institucional, interpretando os resultados à luz da literatura e do modelo da Hélice Tríplice.</w:t>
      </w:r>
    </w:p>
    <w:p w14:paraId="6F2EB5B9" w14:textId="77777777" w:rsidR="000B5410" w:rsidRDefault="000B5410" w:rsidP="000B0BE8">
      <w:pPr>
        <w:shd w:val="clear" w:color="auto" w:fill="FFFFFF"/>
        <w:spacing w:after="0" w:line="240" w:lineRule="auto"/>
        <w:ind w:firstLine="720"/>
        <w:jc w:val="both"/>
        <w:rPr>
          <w:rFonts w:ascii="Times New Roman" w:eastAsia="Times New Roman" w:hAnsi="Times New Roman" w:cs="Times New Roman"/>
          <w:sz w:val="24"/>
          <w:szCs w:val="24"/>
        </w:rPr>
      </w:pPr>
    </w:p>
    <w:p w14:paraId="6DFE6F9E" w14:textId="77777777" w:rsidR="000B5410" w:rsidRDefault="00000000" w:rsidP="000B0BE8">
      <w:pPr>
        <w:keepNext/>
        <w:shd w:val="clear" w:color="auto" w:fill="FFFFFF"/>
        <w:spacing w:before="2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 ANÁLISE DOS RESULTADOS</w:t>
      </w:r>
    </w:p>
    <w:p w14:paraId="550CF283" w14:textId="77777777" w:rsidR="000B5410" w:rsidRDefault="00000000" w:rsidP="000B0BE8">
      <w:pPr>
        <w:shd w:val="clear" w:color="auto" w:fill="FFFFFF"/>
        <w:spacing w:before="280" w:after="0" w:line="240" w:lineRule="auto"/>
        <w:ind w:firstLine="720"/>
        <w:jc w:val="both"/>
        <w:rPr>
          <w:rFonts w:ascii="Times New Roman" w:eastAsia="Times New Roman" w:hAnsi="Times New Roman"/>
          <w:sz w:val="24"/>
        </w:rPr>
      </w:pPr>
      <w:r>
        <w:rPr>
          <w:rFonts w:ascii="Times New Roman" w:eastAsia="Times New Roman" w:hAnsi="Times New Roman"/>
          <w:sz w:val="24"/>
        </w:rPr>
        <w:t xml:space="preserve">O Paraná possui 36 parques tecnológicos credenciados em diferentes estágios, mas a análise concentra-se nos 10 ambientes classificados como em operação. O mesmo conjunto foi utilizado pelo Governo do Estado na primeira etapa de avaliação técnica dos parques, o que reforça a </w:t>
      </w:r>
      <w:r>
        <w:rPr>
          <w:rFonts w:ascii="Times New Roman" w:eastAsia="Times New Roman" w:hAnsi="Times New Roman"/>
          <w:sz w:val="24"/>
        </w:rPr>
        <w:lastRenderedPageBreak/>
        <w:t>comparabilidade do recorte (Paraná, 2025; Paraná, 2026). O Quadro 1 sintetiza as dimensões centrais utilizadas na comparação.</w:t>
      </w:r>
    </w:p>
    <w:p w14:paraId="1D92A3FB" w14:textId="77777777" w:rsidR="000B0BE8" w:rsidRDefault="000B0BE8">
      <w:pPr>
        <w:shd w:val="clear" w:color="auto" w:fill="FFFFFF"/>
        <w:spacing w:after="40" w:line="240" w:lineRule="auto"/>
        <w:rPr>
          <w:rFonts w:ascii="Times New Roman" w:eastAsia="Times New Roman" w:hAnsi="Times New Roman" w:cs="Times New Roman"/>
          <w:b/>
          <w:bCs/>
          <w:sz w:val="24"/>
          <w:szCs w:val="24"/>
        </w:rPr>
      </w:pPr>
    </w:p>
    <w:p w14:paraId="6CC07E01" w14:textId="722C0397" w:rsidR="000B5410" w:rsidRPr="000B0BE8" w:rsidRDefault="00000000">
      <w:pPr>
        <w:shd w:val="clear" w:color="auto" w:fill="FFFFFF"/>
        <w:spacing w:after="40" w:line="240" w:lineRule="auto"/>
        <w:rPr>
          <w:rFonts w:ascii="Times New Roman" w:eastAsia="Times New Roman" w:hAnsi="Times New Roman" w:cs="Times New Roman"/>
          <w:sz w:val="24"/>
          <w:szCs w:val="24"/>
        </w:rPr>
      </w:pPr>
      <w:r w:rsidRPr="000B0BE8">
        <w:rPr>
          <w:rFonts w:ascii="Times New Roman" w:eastAsia="Times New Roman" w:hAnsi="Times New Roman" w:cs="Times New Roman"/>
          <w:b/>
          <w:bCs/>
          <w:sz w:val="24"/>
          <w:szCs w:val="24"/>
        </w:rPr>
        <w:t xml:space="preserve">Quadro 1: </w:t>
      </w:r>
      <w:r w:rsidRPr="000B0BE8">
        <w:rPr>
          <w:rFonts w:ascii="Times New Roman" w:eastAsia="Times New Roman" w:hAnsi="Times New Roman" w:cs="Times New Roman"/>
          <w:sz w:val="24"/>
          <w:szCs w:val="24"/>
        </w:rPr>
        <w:t>Características dos parques tecnológicos em operação no Paraná</w:t>
      </w:r>
    </w:p>
    <w:tbl>
      <w:tblPr>
        <w:tblStyle w:val="a0"/>
        <w:tblW w:w="94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8"/>
        <w:gridCol w:w="999"/>
        <w:gridCol w:w="1484"/>
        <w:gridCol w:w="621"/>
        <w:gridCol w:w="1741"/>
        <w:gridCol w:w="1802"/>
        <w:gridCol w:w="985"/>
      </w:tblGrid>
      <w:tr w:rsidR="000B5410" w14:paraId="6B102C78" w14:textId="77777777" w:rsidTr="00C4305E">
        <w:trPr>
          <w:cantSplit/>
          <w:trHeight w:val="597"/>
          <w:tblHeader/>
        </w:trPr>
        <w:tc>
          <w:tcPr>
            <w:tcW w:w="1848"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2FAED437" w14:textId="77777777" w:rsidR="000B5410" w:rsidRDefault="00000000">
            <w:pPr>
              <w:jc w:val="center"/>
            </w:pPr>
            <w:r>
              <w:rPr>
                <w:rFonts w:ascii="Times New Roman" w:eastAsia="Times New Roman" w:hAnsi="Times New Roman" w:cs="Times New Roman"/>
                <w:b/>
                <w:bCs/>
                <w:sz w:val="16"/>
                <w:szCs w:val="18"/>
              </w:rPr>
              <w:t>Parque tecnológico</w:t>
            </w:r>
          </w:p>
        </w:tc>
        <w:tc>
          <w:tcPr>
            <w:tcW w:w="999"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61101287" w14:textId="77777777" w:rsidR="000B5410" w:rsidRDefault="00000000">
            <w:pPr>
              <w:jc w:val="center"/>
            </w:pPr>
            <w:r>
              <w:rPr>
                <w:rFonts w:ascii="Times New Roman" w:eastAsia="Times New Roman" w:hAnsi="Times New Roman" w:cs="Times New Roman"/>
                <w:b/>
                <w:bCs/>
                <w:sz w:val="16"/>
                <w:szCs w:val="18"/>
              </w:rPr>
              <w:t>Cidade</w:t>
            </w:r>
          </w:p>
        </w:tc>
        <w:tc>
          <w:tcPr>
            <w:tcW w:w="1484"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40A3A8FF" w14:textId="77777777" w:rsidR="000B5410" w:rsidRDefault="00000000">
            <w:pPr>
              <w:jc w:val="center"/>
            </w:pPr>
            <w:r>
              <w:rPr>
                <w:rFonts w:ascii="Times New Roman" w:eastAsia="Times New Roman" w:hAnsi="Times New Roman" w:cs="Times New Roman"/>
                <w:b/>
                <w:bCs/>
                <w:sz w:val="16"/>
                <w:szCs w:val="18"/>
              </w:rPr>
              <w:t>Gestão</w:t>
            </w:r>
          </w:p>
        </w:tc>
        <w:tc>
          <w:tcPr>
            <w:tcW w:w="62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61972450" w14:textId="77777777" w:rsidR="000B5410" w:rsidRDefault="00000000">
            <w:pPr>
              <w:jc w:val="center"/>
            </w:pPr>
            <w:r>
              <w:rPr>
                <w:rFonts w:ascii="Times New Roman" w:eastAsia="Times New Roman" w:hAnsi="Times New Roman" w:cs="Times New Roman"/>
                <w:b/>
                <w:bCs/>
                <w:sz w:val="16"/>
                <w:szCs w:val="18"/>
              </w:rPr>
              <w:t>Marco</w:t>
            </w:r>
          </w:p>
        </w:tc>
        <w:tc>
          <w:tcPr>
            <w:tcW w:w="174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7E58FD8E" w14:textId="77777777" w:rsidR="000B5410" w:rsidRDefault="00000000">
            <w:pPr>
              <w:jc w:val="center"/>
            </w:pPr>
            <w:r>
              <w:rPr>
                <w:rFonts w:ascii="Times New Roman" w:eastAsia="Times New Roman" w:hAnsi="Times New Roman" w:cs="Times New Roman"/>
                <w:b/>
                <w:bCs/>
                <w:sz w:val="16"/>
                <w:szCs w:val="18"/>
              </w:rPr>
              <w:t>Vocação principal</w:t>
            </w:r>
          </w:p>
        </w:tc>
        <w:tc>
          <w:tcPr>
            <w:tcW w:w="1802"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37043163" w14:textId="77777777" w:rsidR="000B5410" w:rsidRDefault="00000000">
            <w:pPr>
              <w:jc w:val="center"/>
            </w:pPr>
            <w:r>
              <w:rPr>
                <w:rFonts w:ascii="Times New Roman" w:eastAsia="Times New Roman" w:hAnsi="Times New Roman" w:cs="Times New Roman"/>
                <w:b/>
                <w:bCs/>
                <w:sz w:val="16"/>
                <w:szCs w:val="18"/>
              </w:rPr>
              <w:t>Instituições-chave</w:t>
            </w:r>
          </w:p>
        </w:tc>
        <w:tc>
          <w:tcPr>
            <w:tcW w:w="985"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36E78619" w14:textId="77777777" w:rsidR="000B5410" w:rsidRDefault="00000000">
            <w:pPr>
              <w:jc w:val="center"/>
            </w:pPr>
            <w:r>
              <w:rPr>
                <w:rFonts w:ascii="Times New Roman" w:eastAsia="Times New Roman" w:hAnsi="Times New Roman"/>
                <w:b/>
                <w:sz w:val="16"/>
              </w:rPr>
              <w:t>Presença empresarial</w:t>
            </w:r>
          </w:p>
        </w:tc>
      </w:tr>
      <w:tr w:rsidR="000B5410" w14:paraId="1E26605F" w14:textId="77777777" w:rsidTr="00C4305E">
        <w:trPr>
          <w:cantSplit/>
        </w:trPr>
        <w:tc>
          <w:tcPr>
            <w:tcW w:w="1848"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6686EB0E" w14:textId="77777777" w:rsidR="000B5410" w:rsidRDefault="00000000">
            <w:r>
              <w:rPr>
                <w:rFonts w:ascii="Times New Roman" w:eastAsia="Times New Roman" w:hAnsi="Times New Roman" w:cs="Times New Roman"/>
                <w:b/>
                <w:bCs/>
                <w:sz w:val="16"/>
                <w:szCs w:val="18"/>
              </w:rPr>
              <w:t>Biopark</w:t>
            </w:r>
          </w:p>
        </w:tc>
        <w:tc>
          <w:tcPr>
            <w:tcW w:w="999"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60F474D7" w14:textId="77777777" w:rsidR="000B5410" w:rsidRDefault="00000000">
            <w:pPr>
              <w:jc w:val="center"/>
            </w:pPr>
            <w:r>
              <w:rPr>
                <w:rFonts w:ascii="Times New Roman" w:eastAsia="Times New Roman" w:hAnsi="Times New Roman" w:cs="Times New Roman"/>
                <w:sz w:val="16"/>
                <w:szCs w:val="18"/>
              </w:rPr>
              <w:t>Toledo</w:t>
            </w:r>
          </w:p>
        </w:tc>
        <w:tc>
          <w:tcPr>
            <w:tcW w:w="1484"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1D334682" w14:textId="77777777" w:rsidR="000B5410" w:rsidRDefault="00000000">
            <w:r>
              <w:rPr>
                <w:rFonts w:ascii="Times New Roman" w:eastAsia="Times New Roman" w:hAnsi="Times New Roman" w:cs="Times New Roman"/>
                <w:sz w:val="16"/>
                <w:szCs w:val="18"/>
              </w:rPr>
              <w:t>Privado</w:t>
            </w:r>
          </w:p>
        </w:tc>
        <w:tc>
          <w:tcPr>
            <w:tcW w:w="62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53249A01" w14:textId="77777777" w:rsidR="000B5410" w:rsidRDefault="00000000">
            <w:pPr>
              <w:jc w:val="center"/>
            </w:pPr>
            <w:r>
              <w:rPr>
                <w:rFonts w:ascii="Times New Roman" w:eastAsia="Times New Roman" w:hAnsi="Times New Roman" w:cs="Times New Roman"/>
                <w:sz w:val="16"/>
                <w:szCs w:val="18"/>
              </w:rPr>
              <w:t>2016</w:t>
            </w:r>
          </w:p>
        </w:tc>
        <w:tc>
          <w:tcPr>
            <w:tcW w:w="174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3E34FBB8" w14:textId="77777777" w:rsidR="000B5410" w:rsidRDefault="00000000">
            <w:r>
              <w:rPr>
                <w:rFonts w:ascii="Times New Roman" w:eastAsia="Times New Roman" w:hAnsi="Times New Roman" w:cs="Times New Roman"/>
                <w:sz w:val="16"/>
                <w:szCs w:val="18"/>
              </w:rPr>
              <w:t>Agro, saúde, biotecnologia e TI</w:t>
            </w:r>
          </w:p>
        </w:tc>
        <w:tc>
          <w:tcPr>
            <w:tcW w:w="1802"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11A99624" w14:textId="77777777" w:rsidR="000B5410" w:rsidRDefault="00000000">
            <w:r>
              <w:rPr>
                <w:rFonts w:ascii="Times New Roman" w:eastAsia="Times New Roman" w:hAnsi="Times New Roman" w:cs="Times New Roman"/>
                <w:sz w:val="16"/>
                <w:szCs w:val="18"/>
              </w:rPr>
              <w:t>UFPR, UTFPR, IFPR, Biopark Educação</w:t>
            </w:r>
          </w:p>
        </w:tc>
        <w:tc>
          <w:tcPr>
            <w:tcW w:w="985"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31F1A3D1" w14:textId="77777777" w:rsidR="000B5410" w:rsidRDefault="00000000">
            <w:pPr>
              <w:jc w:val="center"/>
            </w:pPr>
            <w:r>
              <w:rPr>
                <w:rFonts w:ascii="Times New Roman" w:eastAsia="Times New Roman" w:hAnsi="Times New Roman"/>
                <w:sz w:val="16"/>
              </w:rPr>
              <w:t>170+ empresas</w:t>
            </w:r>
          </w:p>
        </w:tc>
      </w:tr>
      <w:tr w:rsidR="000B5410" w14:paraId="2A985C18" w14:textId="77777777" w:rsidTr="00C4305E">
        <w:trPr>
          <w:cantSplit/>
        </w:trPr>
        <w:tc>
          <w:tcPr>
            <w:tcW w:w="1848"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414BCF03" w14:textId="77777777" w:rsidR="000B5410" w:rsidRDefault="00000000">
            <w:r>
              <w:rPr>
                <w:rFonts w:ascii="Times New Roman" w:eastAsia="Times New Roman" w:hAnsi="Times New Roman" w:cs="Times New Roman"/>
                <w:b/>
                <w:bCs/>
                <w:sz w:val="16"/>
                <w:szCs w:val="18"/>
              </w:rPr>
              <w:t>Cilla Tech Park</w:t>
            </w:r>
          </w:p>
        </w:tc>
        <w:tc>
          <w:tcPr>
            <w:tcW w:w="999"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14519044" w14:textId="77777777" w:rsidR="000B5410" w:rsidRDefault="00000000">
            <w:pPr>
              <w:jc w:val="center"/>
            </w:pPr>
            <w:r>
              <w:rPr>
                <w:rFonts w:ascii="Times New Roman" w:eastAsia="Times New Roman" w:hAnsi="Times New Roman" w:cs="Times New Roman"/>
                <w:sz w:val="16"/>
                <w:szCs w:val="18"/>
              </w:rPr>
              <w:t>Guarapuava</w:t>
            </w:r>
          </w:p>
        </w:tc>
        <w:tc>
          <w:tcPr>
            <w:tcW w:w="1484"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181842F1" w14:textId="77777777" w:rsidR="000B5410" w:rsidRDefault="00000000">
            <w:r>
              <w:rPr>
                <w:rFonts w:ascii="Times New Roman" w:eastAsia="Times New Roman" w:hAnsi="Times New Roman" w:cs="Times New Roman"/>
                <w:sz w:val="16"/>
                <w:szCs w:val="18"/>
              </w:rPr>
              <w:t>Associação privada sem fins lucrativos</w:t>
            </w:r>
          </w:p>
        </w:tc>
        <w:tc>
          <w:tcPr>
            <w:tcW w:w="62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75CCE0E7" w14:textId="77777777" w:rsidR="000B5410" w:rsidRDefault="00000000">
            <w:pPr>
              <w:jc w:val="center"/>
            </w:pPr>
            <w:r>
              <w:rPr>
                <w:rFonts w:ascii="Times New Roman" w:eastAsia="Times New Roman" w:hAnsi="Times New Roman" w:cs="Times New Roman"/>
                <w:sz w:val="16"/>
                <w:szCs w:val="18"/>
              </w:rPr>
              <w:t>2020</w:t>
            </w:r>
          </w:p>
        </w:tc>
        <w:tc>
          <w:tcPr>
            <w:tcW w:w="174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4FDCF773" w14:textId="77777777" w:rsidR="000B5410" w:rsidRDefault="00000000">
            <w:r>
              <w:rPr>
                <w:rFonts w:ascii="Times New Roman" w:eastAsia="Times New Roman" w:hAnsi="Times New Roman" w:cs="Times New Roman"/>
                <w:sz w:val="16"/>
                <w:szCs w:val="18"/>
              </w:rPr>
              <w:t>Saúde, agro, biotecnologia, TI e IA</w:t>
            </w:r>
          </w:p>
        </w:tc>
        <w:tc>
          <w:tcPr>
            <w:tcW w:w="1802"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6B0DE897" w14:textId="77777777" w:rsidR="000B5410" w:rsidRDefault="00000000">
            <w:r>
              <w:rPr>
                <w:rFonts w:ascii="Times New Roman" w:eastAsia="Times New Roman" w:hAnsi="Times New Roman" w:cs="Times New Roman"/>
                <w:sz w:val="16"/>
                <w:szCs w:val="18"/>
              </w:rPr>
              <w:t>Unicentro, UTFPR, Sebrae</w:t>
            </w:r>
          </w:p>
        </w:tc>
        <w:tc>
          <w:tcPr>
            <w:tcW w:w="985"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0FA0E5B0" w14:textId="77777777" w:rsidR="000B5410" w:rsidRDefault="00000000">
            <w:pPr>
              <w:jc w:val="center"/>
            </w:pPr>
            <w:r>
              <w:rPr>
                <w:rFonts w:ascii="Times New Roman" w:eastAsia="Times New Roman" w:hAnsi="Times New Roman"/>
                <w:sz w:val="16"/>
              </w:rPr>
              <w:t>40* negócios</w:t>
            </w:r>
          </w:p>
        </w:tc>
      </w:tr>
      <w:tr w:rsidR="000B5410" w14:paraId="630CE333" w14:textId="77777777" w:rsidTr="00C4305E">
        <w:trPr>
          <w:cantSplit/>
        </w:trPr>
        <w:tc>
          <w:tcPr>
            <w:tcW w:w="1848"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3211BF50" w14:textId="77777777" w:rsidR="000B5410" w:rsidRDefault="00000000">
            <w:sdt>
              <w:sdtPr>
                <w:tag w:val="goog_rdk_3"/>
                <w:id w:val="681884707"/>
              </w:sdtPr>
              <w:sdtContent/>
            </w:sdt>
            <w:r>
              <w:rPr>
                <w:rFonts w:ascii="Times New Roman" w:eastAsia="Times New Roman" w:hAnsi="Times New Roman"/>
                <w:b/>
                <w:sz w:val="16"/>
              </w:rPr>
              <w:t>Parque de Agroinovação da Fundação para o Desenvolvimento Científico e Tecnológico (Fundetec)</w:t>
            </w:r>
          </w:p>
        </w:tc>
        <w:tc>
          <w:tcPr>
            <w:tcW w:w="999"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6DE53B8C" w14:textId="77777777" w:rsidR="000B5410" w:rsidRDefault="00000000">
            <w:pPr>
              <w:jc w:val="center"/>
            </w:pPr>
            <w:r>
              <w:rPr>
                <w:rFonts w:ascii="Times New Roman" w:eastAsia="Times New Roman" w:hAnsi="Times New Roman" w:cs="Times New Roman"/>
                <w:sz w:val="16"/>
                <w:szCs w:val="18"/>
              </w:rPr>
              <w:t>Cascavel</w:t>
            </w:r>
          </w:p>
        </w:tc>
        <w:tc>
          <w:tcPr>
            <w:tcW w:w="1484"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0E2A61BF" w14:textId="77777777" w:rsidR="000B5410" w:rsidRDefault="00000000">
            <w:r>
              <w:rPr>
                <w:rFonts w:ascii="Times New Roman" w:eastAsia="Times New Roman" w:hAnsi="Times New Roman" w:cs="Times New Roman"/>
                <w:sz w:val="16"/>
                <w:szCs w:val="18"/>
              </w:rPr>
              <w:t>Fundação pública municipal</w:t>
            </w:r>
          </w:p>
        </w:tc>
        <w:tc>
          <w:tcPr>
            <w:tcW w:w="62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0AF4A7D8" w14:textId="77777777" w:rsidR="000B5410" w:rsidRDefault="00000000">
            <w:pPr>
              <w:jc w:val="center"/>
            </w:pPr>
            <w:r>
              <w:rPr>
                <w:rFonts w:ascii="Times New Roman" w:eastAsia="Times New Roman" w:hAnsi="Times New Roman" w:cs="Times New Roman"/>
                <w:sz w:val="16"/>
                <w:szCs w:val="18"/>
              </w:rPr>
              <w:t>1996</w:t>
            </w:r>
          </w:p>
        </w:tc>
        <w:tc>
          <w:tcPr>
            <w:tcW w:w="174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66D7B992" w14:textId="77777777" w:rsidR="000B5410" w:rsidRDefault="00000000">
            <w:r>
              <w:rPr>
                <w:rFonts w:ascii="Times New Roman" w:eastAsia="Times New Roman" w:hAnsi="Times New Roman" w:cs="Times New Roman"/>
                <w:sz w:val="16"/>
                <w:szCs w:val="18"/>
              </w:rPr>
              <w:t xml:space="preserve">Agro, biotecnologia, </w:t>
            </w:r>
            <w:r>
              <w:rPr>
                <w:rFonts w:ascii="Times New Roman" w:eastAsia="Times New Roman" w:hAnsi="Times New Roman" w:cs="Times New Roman"/>
                <w:i/>
                <w:iCs/>
                <w:sz w:val="16"/>
                <w:szCs w:val="18"/>
              </w:rPr>
              <w:t>Smart Agro</w:t>
            </w:r>
            <w:r>
              <w:rPr>
                <w:rFonts w:ascii="Times New Roman" w:eastAsia="Times New Roman" w:hAnsi="Times New Roman" w:cs="Times New Roman"/>
                <w:sz w:val="16"/>
                <w:szCs w:val="18"/>
              </w:rPr>
              <w:t xml:space="preserve"> e TI</w:t>
            </w:r>
          </w:p>
        </w:tc>
        <w:tc>
          <w:tcPr>
            <w:tcW w:w="1802"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7CF70767" w14:textId="77777777" w:rsidR="000B5410" w:rsidRDefault="00000000">
            <w:r>
              <w:rPr>
                <w:rFonts w:ascii="Times New Roman" w:eastAsia="Times New Roman" w:hAnsi="Times New Roman" w:cs="Times New Roman"/>
                <w:sz w:val="16"/>
                <w:szCs w:val="18"/>
              </w:rPr>
              <w:t>Prefeitura, Unioeste, Sebrae, Acic</w:t>
            </w:r>
          </w:p>
        </w:tc>
        <w:tc>
          <w:tcPr>
            <w:tcW w:w="985"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2BE3F3CE" w14:textId="77777777" w:rsidR="000B5410" w:rsidRDefault="00000000">
            <w:pPr>
              <w:jc w:val="center"/>
            </w:pPr>
            <w:r>
              <w:rPr>
                <w:rFonts w:ascii="Times New Roman" w:eastAsia="Times New Roman" w:hAnsi="Times New Roman"/>
                <w:sz w:val="16"/>
              </w:rPr>
              <w:t>48 incubadas</w:t>
            </w:r>
          </w:p>
        </w:tc>
      </w:tr>
      <w:tr w:rsidR="000B5410" w14:paraId="1848B84C" w14:textId="77777777" w:rsidTr="00C4305E">
        <w:trPr>
          <w:cantSplit/>
        </w:trPr>
        <w:tc>
          <w:tcPr>
            <w:tcW w:w="1848"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007512AB" w14:textId="77777777" w:rsidR="000B5410" w:rsidRDefault="00000000">
            <w:sdt>
              <w:sdtPr>
                <w:tag w:val="goog_rdk_4"/>
                <w:id w:val="38951900"/>
              </w:sdtPr>
              <w:sdtContent/>
            </w:sdt>
            <w:r>
              <w:rPr>
                <w:rFonts w:ascii="Times New Roman" w:eastAsia="Times New Roman" w:hAnsi="Times New Roman"/>
                <w:b/>
                <w:sz w:val="16"/>
              </w:rPr>
              <w:t>HOTMILK</w:t>
            </w:r>
          </w:p>
        </w:tc>
        <w:tc>
          <w:tcPr>
            <w:tcW w:w="999"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2659D641" w14:textId="77777777" w:rsidR="000B5410" w:rsidRDefault="00000000">
            <w:pPr>
              <w:jc w:val="center"/>
            </w:pPr>
            <w:r>
              <w:rPr>
                <w:rFonts w:ascii="Times New Roman" w:eastAsia="Times New Roman" w:hAnsi="Times New Roman" w:cs="Times New Roman"/>
                <w:sz w:val="16"/>
                <w:szCs w:val="18"/>
              </w:rPr>
              <w:t>Curitiba</w:t>
            </w:r>
          </w:p>
        </w:tc>
        <w:tc>
          <w:tcPr>
            <w:tcW w:w="1484"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5F7D54ED" w14:textId="77777777" w:rsidR="000B5410" w:rsidRDefault="00000000">
            <w:r>
              <w:rPr>
                <w:rFonts w:ascii="Times New Roman" w:eastAsia="Times New Roman" w:hAnsi="Times New Roman" w:cs="Times New Roman"/>
                <w:sz w:val="16"/>
                <w:szCs w:val="18"/>
              </w:rPr>
              <w:t>Universitário privado</w:t>
            </w:r>
          </w:p>
        </w:tc>
        <w:tc>
          <w:tcPr>
            <w:tcW w:w="62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66300138" w14:textId="77777777" w:rsidR="000B5410" w:rsidRDefault="00000000">
            <w:pPr>
              <w:jc w:val="center"/>
            </w:pPr>
            <w:r>
              <w:rPr>
                <w:rFonts w:ascii="Times New Roman" w:eastAsia="Times New Roman" w:hAnsi="Times New Roman" w:cs="Times New Roman"/>
                <w:sz w:val="16"/>
                <w:szCs w:val="18"/>
              </w:rPr>
              <w:t>2014</w:t>
            </w:r>
          </w:p>
        </w:tc>
        <w:tc>
          <w:tcPr>
            <w:tcW w:w="174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5AAB9FE7" w14:textId="77777777" w:rsidR="000B5410" w:rsidRDefault="00000000">
            <w:r>
              <w:rPr>
                <w:rFonts w:ascii="Times New Roman" w:eastAsia="Times New Roman" w:hAnsi="Times New Roman" w:cs="Times New Roman"/>
                <w:sz w:val="16"/>
                <w:szCs w:val="18"/>
              </w:rPr>
              <w:t xml:space="preserve">Inovação aberta, TI, </w:t>
            </w:r>
            <w:r>
              <w:rPr>
                <w:rFonts w:ascii="Times New Roman" w:eastAsia="Times New Roman" w:hAnsi="Times New Roman" w:cs="Times New Roman"/>
                <w:i/>
                <w:iCs/>
                <w:sz w:val="16"/>
                <w:szCs w:val="18"/>
              </w:rPr>
              <w:t>deep techs</w:t>
            </w:r>
            <w:r>
              <w:rPr>
                <w:rFonts w:ascii="Times New Roman" w:eastAsia="Times New Roman" w:hAnsi="Times New Roman" w:cs="Times New Roman"/>
                <w:sz w:val="16"/>
                <w:szCs w:val="18"/>
              </w:rPr>
              <w:t xml:space="preserve">, </w:t>
            </w:r>
            <w:r>
              <w:rPr>
                <w:rFonts w:ascii="Times New Roman" w:eastAsia="Times New Roman" w:hAnsi="Times New Roman" w:cs="Times New Roman"/>
                <w:i/>
                <w:iCs/>
                <w:sz w:val="16"/>
                <w:szCs w:val="18"/>
              </w:rPr>
              <w:t>agtechs</w:t>
            </w:r>
            <w:r>
              <w:rPr>
                <w:rFonts w:ascii="Times New Roman" w:eastAsia="Times New Roman" w:hAnsi="Times New Roman" w:cs="Times New Roman"/>
                <w:sz w:val="16"/>
                <w:szCs w:val="18"/>
              </w:rPr>
              <w:t xml:space="preserve"> e </w:t>
            </w:r>
            <w:r>
              <w:rPr>
                <w:rFonts w:ascii="Times New Roman" w:eastAsia="Times New Roman" w:hAnsi="Times New Roman" w:cs="Times New Roman"/>
                <w:i/>
                <w:iCs/>
                <w:sz w:val="16"/>
                <w:szCs w:val="18"/>
              </w:rPr>
              <w:t>healthtechs</w:t>
            </w:r>
          </w:p>
        </w:tc>
        <w:tc>
          <w:tcPr>
            <w:tcW w:w="1802"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0522439A" w14:textId="77777777" w:rsidR="000B5410" w:rsidRDefault="00000000">
            <w:r>
              <w:rPr>
                <w:rFonts w:ascii="Times New Roman" w:eastAsia="Times New Roman" w:hAnsi="Times New Roman" w:cs="Times New Roman"/>
                <w:sz w:val="16"/>
                <w:szCs w:val="18"/>
              </w:rPr>
              <w:t>PUCPR, empresas e investidores</w:t>
            </w:r>
          </w:p>
        </w:tc>
        <w:tc>
          <w:tcPr>
            <w:tcW w:w="985"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0E8826E4" w14:textId="77777777" w:rsidR="000B5410" w:rsidRDefault="00000000">
            <w:pPr>
              <w:jc w:val="center"/>
            </w:pPr>
            <w:r>
              <w:rPr>
                <w:rFonts w:ascii="Times New Roman" w:eastAsia="Times New Roman" w:hAnsi="Times New Roman"/>
                <w:sz w:val="16"/>
              </w:rPr>
              <w:t xml:space="preserve">167+ </w:t>
            </w:r>
            <w:r>
              <w:rPr>
                <w:rFonts w:ascii="Times New Roman" w:eastAsia="Times New Roman" w:hAnsi="Times New Roman"/>
                <w:i/>
                <w:sz w:val="16"/>
              </w:rPr>
              <w:t>startups</w:t>
            </w:r>
            <w:r>
              <w:rPr>
                <w:rFonts w:ascii="Times New Roman" w:eastAsia="Times New Roman" w:hAnsi="Times New Roman"/>
                <w:sz w:val="16"/>
              </w:rPr>
              <w:t xml:space="preserve"> residentes</w:t>
            </w:r>
          </w:p>
        </w:tc>
      </w:tr>
      <w:tr w:rsidR="000B5410" w14:paraId="184E9122" w14:textId="77777777" w:rsidTr="00C4305E">
        <w:trPr>
          <w:cantSplit/>
        </w:trPr>
        <w:tc>
          <w:tcPr>
            <w:tcW w:w="1848"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38D2E951" w14:textId="77777777" w:rsidR="000B5410" w:rsidRDefault="00000000">
            <w:r>
              <w:rPr>
                <w:rFonts w:ascii="Times New Roman" w:eastAsia="Times New Roman" w:hAnsi="Times New Roman" w:cs="Times New Roman"/>
                <w:b/>
                <w:bCs/>
                <w:sz w:val="16"/>
                <w:szCs w:val="18"/>
              </w:rPr>
              <w:t>Itaipu Parquetec</w:t>
            </w:r>
          </w:p>
        </w:tc>
        <w:tc>
          <w:tcPr>
            <w:tcW w:w="999"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0E4D9AA0" w14:textId="77777777" w:rsidR="000B5410" w:rsidRDefault="00000000">
            <w:pPr>
              <w:jc w:val="center"/>
            </w:pPr>
            <w:r>
              <w:rPr>
                <w:rFonts w:ascii="Times New Roman" w:eastAsia="Times New Roman" w:hAnsi="Times New Roman" w:cs="Times New Roman"/>
                <w:sz w:val="16"/>
                <w:szCs w:val="18"/>
              </w:rPr>
              <w:t>Foz do Iguaçu</w:t>
            </w:r>
          </w:p>
        </w:tc>
        <w:tc>
          <w:tcPr>
            <w:tcW w:w="1484"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5231A991" w14:textId="77777777" w:rsidR="000B5410" w:rsidRDefault="00000000">
            <w:r>
              <w:rPr>
                <w:rFonts w:ascii="Times New Roman" w:eastAsia="Times New Roman" w:hAnsi="Times New Roman" w:cs="Times New Roman"/>
                <w:sz w:val="16"/>
                <w:szCs w:val="18"/>
              </w:rPr>
              <w:t>Fundação privada sem fins lucrativos</w:t>
            </w:r>
          </w:p>
        </w:tc>
        <w:tc>
          <w:tcPr>
            <w:tcW w:w="62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5642F76A" w14:textId="77777777" w:rsidR="000B5410" w:rsidRDefault="00000000">
            <w:pPr>
              <w:jc w:val="center"/>
            </w:pPr>
            <w:r>
              <w:rPr>
                <w:rFonts w:ascii="Times New Roman" w:eastAsia="Times New Roman" w:hAnsi="Times New Roman" w:cs="Times New Roman"/>
                <w:sz w:val="16"/>
                <w:szCs w:val="18"/>
              </w:rPr>
              <w:t>2003</w:t>
            </w:r>
          </w:p>
        </w:tc>
        <w:tc>
          <w:tcPr>
            <w:tcW w:w="174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621A923F" w14:textId="77777777" w:rsidR="000B5410" w:rsidRDefault="00000000">
            <w:r>
              <w:rPr>
                <w:rFonts w:ascii="Times New Roman" w:eastAsia="Times New Roman" w:hAnsi="Times New Roman" w:cs="Times New Roman"/>
                <w:sz w:val="16"/>
                <w:szCs w:val="18"/>
              </w:rPr>
              <w:t>Energia, sustentabilidade e tecnologias digitais</w:t>
            </w:r>
          </w:p>
        </w:tc>
        <w:tc>
          <w:tcPr>
            <w:tcW w:w="1802"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30695494" w14:textId="77777777" w:rsidR="000B5410" w:rsidRDefault="00000000">
            <w:r>
              <w:rPr>
                <w:rFonts w:ascii="Times New Roman" w:eastAsia="Times New Roman" w:hAnsi="Times New Roman" w:cs="Times New Roman"/>
                <w:sz w:val="16"/>
                <w:szCs w:val="18"/>
              </w:rPr>
              <w:t>Itaipu, UNILA, Unioeste</w:t>
            </w:r>
          </w:p>
        </w:tc>
        <w:tc>
          <w:tcPr>
            <w:tcW w:w="985"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53DE7580" w14:textId="096526DC" w:rsidR="000B5410" w:rsidRDefault="00000000">
            <w:pPr>
              <w:jc w:val="center"/>
            </w:pPr>
            <w:r>
              <w:rPr>
                <w:rFonts w:ascii="Times New Roman" w:eastAsia="Times New Roman" w:hAnsi="Times New Roman"/>
                <w:sz w:val="16"/>
              </w:rPr>
              <w:t xml:space="preserve">150 </w:t>
            </w:r>
            <w:r>
              <w:rPr>
                <w:rFonts w:ascii="Times New Roman" w:eastAsia="Times New Roman" w:hAnsi="Times New Roman"/>
                <w:i/>
                <w:sz w:val="16"/>
              </w:rPr>
              <w:t>startups</w:t>
            </w:r>
            <w:r>
              <w:rPr>
                <w:rFonts w:ascii="Times New Roman" w:eastAsia="Times New Roman" w:hAnsi="Times New Roman"/>
                <w:sz w:val="16"/>
              </w:rPr>
              <w:t>/em</w:t>
            </w:r>
            <w:r w:rsidR="00C4305E">
              <w:rPr>
                <w:rFonts w:ascii="Times New Roman" w:eastAsia="Times New Roman" w:hAnsi="Times New Roman"/>
                <w:sz w:val="16"/>
              </w:rPr>
              <w:t>-</w:t>
            </w:r>
            <w:r>
              <w:rPr>
                <w:rFonts w:ascii="Times New Roman" w:eastAsia="Times New Roman" w:hAnsi="Times New Roman"/>
                <w:sz w:val="16"/>
              </w:rPr>
              <w:t>presas residentes</w:t>
            </w:r>
          </w:p>
        </w:tc>
      </w:tr>
      <w:tr w:rsidR="000B5410" w14:paraId="294CE71D" w14:textId="77777777" w:rsidTr="00C4305E">
        <w:trPr>
          <w:cantSplit/>
        </w:trPr>
        <w:tc>
          <w:tcPr>
            <w:tcW w:w="1848"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192292D5" w14:textId="77777777" w:rsidR="000B5410" w:rsidRDefault="00000000">
            <w:r>
              <w:rPr>
                <w:rFonts w:ascii="Times New Roman" w:eastAsia="Times New Roman" w:hAnsi="Times New Roman" w:cs="Times New Roman"/>
                <w:b/>
                <w:bCs/>
                <w:sz w:val="16"/>
                <w:szCs w:val="18"/>
              </w:rPr>
              <w:t>Maringatech</w:t>
            </w:r>
          </w:p>
        </w:tc>
        <w:tc>
          <w:tcPr>
            <w:tcW w:w="999"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5E67A1CF" w14:textId="77777777" w:rsidR="000B5410" w:rsidRDefault="00000000">
            <w:pPr>
              <w:jc w:val="center"/>
            </w:pPr>
            <w:r>
              <w:rPr>
                <w:rFonts w:ascii="Times New Roman" w:eastAsia="Times New Roman" w:hAnsi="Times New Roman" w:cs="Times New Roman"/>
                <w:sz w:val="16"/>
                <w:szCs w:val="18"/>
              </w:rPr>
              <w:t>Maringá</w:t>
            </w:r>
          </w:p>
        </w:tc>
        <w:tc>
          <w:tcPr>
            <w:tcW w:w="1484"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48B77763" w14:textId="77777777" w:rsidR="000B5410" w:rsidRDefault="00000000">
            <w:r>
              <w:rPr>
                <w:rFonts w:ascii="Times New Roman" w:eastAsia="Times New Roman" w:hAnsi="Times New Roman" w:cs="Times New Roman"/>
                <w:sz w:val="16"/>
                <w:szCs w:val="18"/>
              </w:rPr>
              <w:t>Associação sem fins lucrativos</w:t>
            </w:r>
          </w:p>
        </w:tc>
        <w:tc>
          <w:tcPr>
            <w:tcW w:w="62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416BEE1A" w14:textId="77777777" w:rsidR="000B5410" w:rsidRDefault="00000000">
            <w:pPr>
              <w:jc w:val="center"/>
            </w:pPr>
            <w:r>
              <w:rPr>
                <w:rFonts w:ascii="Times New Roman" w:eastAsia="Times New Roman" w:hAnsi="Times New Roman" w:cs="Times New Roman"/>
                <w:sz w:val="16"/>
                <w:szCs w:val="18"/>
              </w:rPr>
              <w:t>2016</w:t>
            </w:r>
          </w:p>
        </w:tc>
        <w:tc>
          <w:tcPr>
            <w:tcW w:w="174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649A2CD1" w14:textId="77777777" w:rsidR="000B5410" w:rsidRDefault="00000000">
            <w:r>
              <w:rPr>
                <w:rFonts w:ascii="Times New Roman" w:eastAsia="Times New Roman" w:hAnsi="Times New Roman" w:cs="Times New Roman"/>
                <w:sz w:val="16"/>
                <w:szCs w:val="18"/>
              </w:rPr>
              <w:t xml:space="preserve">Biotecnologia, saúde, </w:t>
            </w:r>
            <w:r>
              <w:rPr>
                <w:rFonts w:ascii="Times New Roman" w:eastAsia="Times New Roman" w:hAnsi="Times New Roman" w:cs="Times New Roman"/>
                <w:i/>
                <w:iCs/>
                <w:sz w:val="16"/>
                <w:szCs w:val="18"/>
              </w:rPr>
              <w:t>agtech</w:t>
            </w:r>
            <w:r>
              <w:rPr>
                <w:rFonts w:ascii="Times New Roman" w:eastAsia="Times New Roman" w:hAnsi="Times New Roman" w:cs="Times New Roman"/>
                <w:sz w:val="16"/>
                <w:szCs w:val="18"/>
              </w:rPr>
              <w:t xml:space="preserve"> e novos materiais</w:t>
            </w:r>
          </w:p>
        </w:tc>
        <w:tc>
          <w:tcPr>
            <w:tcW w:w="1802"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09B631CF" w14:textId="77777777" w:rsidR="000B5410" w:rsidRDefault="00000000">
            <w:r>
              <w:rPr>
                <w:rFonts w:ascii="Times New Roman" w:eastAsia="Times New Roman" w:hAnsi="Times New Roman" w:cs="Times New Roman"/>
                <w:sz w:val="16"/>
                <w:szCs w:val="18"/>
              </w:rPr>
              <w:t>UEM, Sebrae, Senai, Tecpar</w:t>
            </w:r>
          </w:p>
        </w:tc>
        <w:tc>
          <w:tcPr>
            <w:tcW w:w="985"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2DA18A8C" w14:textId="77777777" w:rsidR="000B5410" w:rsidRDefault="00000000">
            <w:pPr>
              <w:jc w:val="center"/>
            </w:pPr>
            <w:r>
              <w:rPr>
                <w:rFonts w:ascii="Times New Roman" w:eastAsia="Times New Roman" w:hAnsi="Times New Roman"/>
                <w:sz w:val="16"/>
              </w:rPr>
              <w:t>51 empresas inovadoras</w:t>
            </w:r>
          </w:p>
        </w:tc>
      </w:tr>
      <w:tr w:rsidR="000B5410" w14:paraId="7D5C1CEB" w14:textId="77777777" w:rsidTr="00C4305E">
        <w:trPr>
          <w:cantSplit/>
        </w:trPr>
        <w:tc>
          <w:tcPr>
            <w:tcW w:w="1848"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064B1D9A" w14:textId="77777777" w:rsidR="000B5410" w:rsidRDefault="00000000">
            <w:r>
              <w:rPr>
                <w:rFonts w:ascii="Times New Roman" w:eastAsia="Times New Roman" w:hAnsi="Times New Roman" w:cs="Times New Roman"/>
                <w:b/>
                <w:bCs/>
                <w:sz w:val="16"/>
                <w:szCs w:val="18"/>
              </w:rPr>
              <w:t>Parque Tecnológico da Indústria</w:t>
            </w:r>
          </w:p>
        </w:tc>
        <w:tc>
          <w:tcPr>
            <w:tcW w:w="999"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0ABB5D2A" w14:textId="77777777" w:rsidR="000B5410" w:rsidRDefault="00000000">
            <w:pPr>
              <w:jc w:val="center"/>
              <w:rPr>
                <w:rFonts w:ascii="Times New Roman" w:eastAsia="Times New Roman" w:hAnsi="Times New Roman" w:cs="Times New Roman"/>
                <w:sz w:val="18"/>
                <w:szCs w:val="18"/>
              </w:rPr>
            </w:pPr>
            <w:r>
              <w:rPr>
                <w:rFonts w:ascii="Times New Roman" w:eastAsia="Times New Roman" w:hAnsi="Times New Roman" w:cs="Times New Roman"/>
                <w:sz w:val="16"/>
                <w:szCs w:val="18"/>
              </w:rPr>
              <w:t>Curitiba</w:t>
            </w:r>
          </w:p>
        </w:tc>
        <w:tc>
          <w:tcPr>
            <w:tcW w:w="1484"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50F1BAEC" w14:textId="77777777" w:rsidR="000B5410" w:rsidRDefault="00000000">
            <w:pPr>
              <w:rPr>
                <w:rFonts w:ascii="Times New Roman" w:eastAsia="Times New Roman" w:hAnsi="Times New Roman" w:cs="Times New Roman"/>
                <w:sz w:val="18"/>
                <w:szCs w:val="18"/>
              </w:rPr>
            </w:pPr>
            <w:r>
              <w:rPr>
                <w:rFonts w:ascii="Times New Roman" w:eastAsia="Times New Roman" w:hAnsi="Times New Roman" w:cs="Times New Roman"/>
                <w:sz w:val="16"/>
                <w:szCs w:val="18"/>
              </w:rPr>
              <w:t>Sistema da Federação das Indústrias do Estado do Paraná (Fiep)</w:t>
            </w:r>
          </w:p>
        </w:tc>
        <w:tc>
          <w:tcPr>
            <w:tcW w:w="62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649CBF15" w14:textId="77777777" w:rsidR="000B5410" w:rsidRDefault="00000000">
            <w:pPr>
              <w:jc w:val="center"/>
            </w:pPr>
            <w:r>
              <w:rPr>
                <w:rFonts w:ascii="Times New Roman" w:eastAsia="Times New Roman" w:hAnsi="Times New Roman" w:cs="Times New Roman"/>
                <w:sz w:val="16"/>
                <w:szCs w:val="18"/>
              </w:rPr>
              <w:t>2025</w:t>
            </w:r>
          </w:p>
        </w:tc>
        <w:tc>
          <w:tcPr>
            <w:tcW w:w="174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6C5B702D" w14:textId="77777777" w:rsidR="000B5410" w:rsidRDefault="00000000">
            <w:r>
              <w:rPr>
                <w:rFonts w:ascii="Times New Roman" w:eastAsia="Times New Roman" w:hAnsi="Times New Roman" w:cs="Times New Roman"/>
                <w:sz w:val="16"/>
                <w:szCs w:val="18"/>
              </w:rPr>
              <w:t>Indústria 4.0, mobilidade e sustentabilidade</w:t>
            </w:r>
          </w:p>
        </w:tc>
        <w:tc>
          <w:tcPr>
            <w:tcW w:w="1802"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0AEB6F9A" w14:textId="77777777" w:rsidR="000B5410" w:rsidRDefault="00000000">
            <w:r>
              <w:rPr>
                <w:rFonts w:ascii="Times New Roman" w:eastAsia="Times New Roman" w:hAnsi="Times New Roman" w:cs="Times New Roman"/>
                <w:sz w:val="16"/>
                <w:szCs w:val="18"/>
              </w:rPr>
              <w:t>Fiep, Senai, UniSenai, Lactec, UFPR</w:t>
            </w:r>
          </w:p>
        </w:tc>
        <w:tc>
          <w:tcPr>
            <w:tcW w:w="985"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0525272A" w14:textId="08907B46" w:rsidR="000B5410" w:rsidRDefault="00000000">
            <w:pPr>
              <w:jc w:val="center"/>
            </w:pPr>
            <w:r>
              <w:rPr>
                <w:rFonts w:ascii="Times New Roman" w:eastAsia="Times New Roman" w:hAnsi="Times New Roman"/>
                <w:sz w:val="16"/>
              </w:rPr>
              <w:t>61 empresas/par</w:t>
            </w:r>
            <w:r w:rsidR="00C4305E">
              <w:rPr>
                <w:rFonts w:ascii="Times New Roman" w:eastAsia="Times New Roman" w:hAnsi="Times New Roman"/>
                <w:sz w:val="16"/>
              </w:rPr>
              <w:t>-</w:t>
            </w:r>
            <w:r>
              <w:rPr>
                <w:rFonts w:ascii="Times New Roman" w:eastAsia="Times New Roman" w:hAnsi="Times New Roman"/>
                <w:sz w:val="16"/>
              </w:rPr>
              <w:t>ceiros</w:t>
            </w:r>
          </w:p>
        </w:tc>
      </w:tr>
      <w:tr w:rsidR="000B5410" w14:paraId="10DC9320" w14:textId="77777777" w:rsidTr="00C4305E">
        <w:trPr>
          <w:cantSplit/>
        </w:trPr>
        <w:tc>
          <w:tcPr>
            <w:tcW w:w="1848"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51CE5915" w14:textId="77777777" w:rsidR="000B5410" w:rsidRDefault="00000000">
            <w:r>
              <w:rPr>
                <w:rFonts w:ascii="Times New Roman" w:eastAsia="Times New Roman" w:hAnsi="Times New Roman" w:cs="Times New Roman"/>
                <w:b/>
                <w:bCs/>
                <w:sz w:val="16"/>
                <w:szCs w:val="18"/>
              </w:rPr>
              <w:t>Parque Tecnológico de Pato Branco</w:t>
            </w:r>
          </w:p>
        </w:tc>
        <w:tc>
          <w:tcPr>
            <w:tcW w:w="999"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743C6240" w14:textId="77777777" w:rsidR="000B5410" w:rsidRDefault="00000000">
            <w:pPr>
              <w:jc w:val="center"/>
            </w:pPr>
            <w:r>
              <w:rPr>
                <w:rFonts w:ascii="Times New Roman" w:eastAsia="Times New Roman" w:hAnsi="Times New Roman" w:cs="Times New Roman"/>
                <w:sz w:val="16"/>
                <w:szCs w:val="18"/>
              </w:rPr>
              <w:t>Pato Branco</w:t>
            </w:r>
          </w:p>
        </w:tc>
        <w:tc>
          <w:tcPr>
            <w:tcW w:w="1484"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4B923978" w14:textId="77777777" w:rsidR="000B5410" w:rsidRDefault="00000000">
            <w:r>
              <w:rPr>
                <w:rFonts w:ascii="Times New Roman" w:eastAsia="Times New Roman" w:hAnsi="Times New Roman" w:cs="Times New Roman"/>
                <w:sz w:val="16"/>
                <w:szCs w:val="18"/>
              </w:rPr>
              <w:t>Público municipal</w:t>
            </w:r>
          </w:p>
        </w:tc>
        <w:tc>
          <w:tcPr>
            <w:tcW w:w="62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43B39320" w14:textId="77777777" w:rsidR="000B5410" w:rsidRDefault="00000000">
            <w:pPr>
              <w:jc w:val="center"/>
            </w:pPr>
            <w:r>
              <w:rPr>
                <w:rFonts w:ascii="Times New Roman" w:eastAsia="Times New Roman" w:hAnsi="Times New Roman" w:cs="Times New Roman"/>
                <w:sz w:val="16"/>
                <w:szCs w:val="18"/>
              </w:rPr>
              <w:t>2016</w:t>
            </w:r>
          </w:p>
        </w:tc>
        <w:tc>
          <w:tcPr>
            <w:tcW w:w="174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5B2006FE" w14:textId="77777777" w:rsidR="000B5410" w:rsidRDefault="00000000">
            <w:r>
              <w:rPr>
                <w:rFonts w:ascii="Times New Roman" w:eastAsia="Times New Roman" w:hAnsi="Times New Roman" w:cs="Times New Roman"/>
                <w:sz w:val="16"/>
                <w:szCs w:val="18"/>
              </w:rPr>
              <w:t xml:space="preserve">TI, </w:t>
            </w:r>
            <w:r>
              <w:rPr>
                <w:rFonts w:ascii="Times New Roman" w:eastAsia="Times New Roman" w:hAnsi="Times New Roman" w:cs="Times New Roman"/>
                <w:i/>
                <w:iCs/>
                <w:sz w:val="16"/>
                <w:szCs w:val="18"/>
              </w:rPr>
              <w:t>software</w:t>
            </w:r>
            <w:r>
              <w:rPr>
                <w:rFonts w:ascii="Times New Roman" w:eastAsia="Times New Roman" w:hAnsi="Times New Roman" w:cs="Times New Roman"/>
                <w:sz w:val="16"/>
                <w:szCs w:val="18"/>
              </w:rPr>
              <w:t xml:space="preserve">, </w:t>
            </w:r>
            <w:r>
              <w:rPr>
                <w:rFonts w:ascii="Times New Roman" w:eastAsia="Times New Roman" w:hAnsi="Times New Roman" w:cs="Times New Roman"/>
                <w:i/>
                <w:iCs/>
                <w:sz w:val="16"/>
                <w:szCs w:val="18"/>
              </w:rPr>
              <w:t>hardware</w:t>
            </w:r>
            <w:r>
              <w:rPr>
                <w:rFonts w:ascii="Times New Roman" w:eastAsia="Times New Roman" w:hAnsi="Times New Roman" w:cs="Times New Roman"/>
                <w:sz w:val="16"/>
                <w:szCs w:val="18"/>
              </w:rPr>
              <w:t xml:space="preserve"> e automação</w:t>
            </w:r>
          </w:p>
        </w:tc>
        <w:tc>
          <w:tcPr>
            <w:tcW w:w="1802"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76B92C57" w14:textId="77777777" w:rsidR="000B5410" w:rsidRDefault="00000000">
            <w:r>
              <w:rPr>
                <w:rFonts w:ascii="Times New Roman" w:eastAsia="Times New Roman" w:hAnsi="Times New Roman" w:cs="Times New Roman"/>
                <w:sz w:val="16"/>
                <w:szCs w:val="18"/>
              </w:rPr>
              <w:t>Prefeitura, UTFPR, Sebrae, Fiep</w:t>
            </w:r>
          </w:p>
        </w:tc>
        <w:tc>
          <w:tcPr>
            <w:tcW w:w="985"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38E6FF4A" w14:textId="77777777" w:rsidR="000B5410" w:rsidRDefault="00000000">
            <w:pPr>
              <w:jc w:val="center"/>
            </w:pPr>
            <w:r>
              <w:rPr>
                <w:rFonts w:ascii="Times New Roman" w:eastAsia="Times New Roman" w:hAnsi="Times New Roman"/>
                <w:sz w:val="16"/>
              </w:rPr>
              <w:t>31* incubados</w:t>
            </w:r>
          </w:p>
        </w:tc>
      </w:tr>
      <w:tr w:rsidR="000B5410" w14:paraId="6D37EF4C" w14:textId="77777777" w:rsidTr="00C4305E">
        <w:trPr>
          <w:cantSplit/>
        </w:trPr>
        <w:tc>
          <w:tcPr>
            <w:tcW w:w="1848"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7904F2E9" w14:textId="77777777" w:rsidR="000B5410" w:rsidRDefault="00000000">
            <w:r>
              <w:rPr>
                <w:rFonts w:ascii="Times New Roman" w:eastAsia="Times New Roman" w:hAnsi="Times New Roman" w:cs="Times New Roman"/>
                <w:b/>
                <w:bCs/>
                <w:sz w:val="16"/>
                <w:szCs w:val="18"/>
              </w:rPr>
              <w:t>Parque Tecnológico da Saúde Tecpar</w:t>
            </w:r>
          </w:p>
        </w:tc>
        <w:tc>
          <w:tcPr>
            <w:tcW w:w="999"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4DE7CF00" w14:textId="77777777" w:rsidR="000B5410" w:rsidRDefault="00000000">
            <w:pPr>
              <w:jc w:val="center"/>
            </w:pPr>
            <w:r>
              <w:rPr>
                <w:rFonts w:ascii="Times New Roman" w:eastAsia="Times New Roman" w:hAnsi="Times New Roman" w:cs="Times New Roman"/>
                <w:sz w:val="16"/>
                <w:szCs w:val="18"/>
              </w:rPr>
              <w:t>Curitiba</w:t>
            </w:r>
          </w:p>
        </w:tc>
        <w:tc>
          <w:tcPr>
            <w:tcW w:w="1484"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50FD24AA" w14:textId="77777777" w:rsidR="000B5410" w:rsidRDefault="00000000">
            <w:r>
              <w:rPr>
                <w:rFonts w:ascii="Times New Roman" w:eastAsia="Times New Roman" w:hAnsi="Times New Roman" w:cs="Times New Roman"/>
                <w:sz w:val="16"/>
                <w:szCs w:val="18"/>
              </w:rPr>
              <w:t>Público estadual</w:t>
            </w:r>
          </w:p>
        </w:tc>
        <w:tc>
          <w:tcPr>
            <w:tcW w:w="62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1A747CA8" w14:textId="77777777" w:rsidR="000B5410" w:rsidRDefault="00000000">
            <w:pPr>
              <w:jc w:val="center"/>
            </w:pPr>
            <w:r>
              <w:rPr>
                <w:rFonts w:ascii="Times New Roman" w:eastAsia="Times New Roman" w:hAnsi="Times New Roman" w:cs="Times New Roman"/>
                <w:sz w:val="16"/>
                <w:szCs w:val="18"/>
              </w:rPr>
              <w:t>2011</w:t>
            </w:r>
          </w:p>
        </w:tc>
        <w:tc>
          <w:tcPr>
            <w:tcW w:w="174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01DEE5EB" w14:textId="77777777" w:rsidR="000B5410" w:rsidRDefault="00000000">
            <w:r>
              <w:rPr>
                <w:rFonts w:ascii="Times New Roman" w:eastAsia="Times New Roman" w:hAnsi="Times New Roman" w:cs="Times New Roman"/>
                <w:sz w:val="16"/>
                <w:szCs w:val="18"/>
              </w:rPr>
              <w:t>Saúde, biotecnologia, diagnóstico e P&amp;D</w:t>
            </w:r>
          </w:p>
        </w:tc>
        <w:tc>
          <w:tcPr>
            <w:tcW w:w="1802"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5F271447" w14:textId="77777777" w:rsidR="000B5410" w:rsidRDefault="00000000">
            <w:r>
              <w:rPr>
                <w:rFonts w:ascii="Times New Roman" w:eastAsia="Times New Roman" w:hAnsi="Times New Roman" w:cs="Times New Roman"/>
                <w:sz w:val="16"/>
                <w:szCs w:val="18"/>
              </w:rPr>
              <w:t>Tecpar, Fiocruz/ICC, IBMP</w:t>
            </w:r>
          </w:p>
        </w:tc>
        <w:tc>
          <w:tcPr>
            <w:tcW w:w="985"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7941D291" w14:textId="77777777" w:rsidR="000B5410" w:rsidRDefault="00000000">
            <w:pPr>
              <w:jc w:val="center"/>
            </w:pPr>
            <w:r>
              <w:rPr>
                <w:rFonts w:ascii="Times New Roman" w:eastAsia="Times New Roman" w:hAnsi="Times New Roman"/>
                <w:sz w:val="16"/>
              </w:rPr>
              <w:t>9 incubadas</w:t>
            </w:r>
          </w:p>
        </w:tc>
      </w:tr>
      <w:tr w:rsidR="000B5410" w14:paraId="1B0D17C1" w14:textId="77777777" w:rsidTr="00C4305E">
        <w:trPr>
          <w:cantSplit/>
        </w:trPr>
        <w:tc>
          <w:tcPr>
            <w:tcW w:w="1848"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15E422BC" w14:textId="77777777" w:rsidR="000B5410" w:rsidRDefault="00000000">
            <w:r>
              <w:rPr>
                <w:rFonts w:ascii="Times New Roman" w:eastAsia="Times New Roman" w:hAnsi="Times New Roman" w:cs="Times New Roman"/>
                <w:b/>
                <w:bCs/>
                <w:sz w:val="16"/>
                <w:szCs w:val="18"/>
              </w:rPr>
              <w:t>Parque Tecnológico em Bioeconomia Senai</w:t>
            </w:r>
          </w:p>
        </w:tc>
        <w:tc>
          <w:tcPr>
            <w:tcW w:w="999"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6C153DF7" w14:textId="77777777" w:rsidR="000B5410" w:rsidRDefault="00000000">
            <w:pPr>
              <w:jc w:val="center"/>
            </w:pPr>
            <w:r>
              <w:rPr>
                <w:rFonts w:ascii="Times New Roman" w:eastAsia="Times New Roman" w:hAnsi="Times New Roman" w:cs="Times New Roman"/>
                <w:sz w:val="16"/>
                <w:szCs w:val="18"/>
              </w:rPr>
              <w:t>Telêmaco Borba</w:t>
            </w:r>
          </w:p>
        </w:tc>
        <w:tc>
          <w:tcPr>
            <w:tcW w:w="1484"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05F72B5D" w14:textId="77777777" w:rsidR="000B5410" w:rsidRDefault="00000000">
            <w:r>
              <w:rPr>
                <w:rFonts w:ascii="Times New Roman" w:eastAsia="Times New Roman" w:hAnsi="Times New Roman" w:cs="Times New Roman"/>
                <w:sz w:val="16"/>
                <w:szCs w:val="18"/>
              </w:rPr>
              <w:t>Sistema S</w:t>
            </w:r>
          </w:p>
        </w:tc>
        <w:tc>
          <w:tcPr>
            <w:tcW w:w="62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7647415C" w14:textId="77777777" w:rsidR="000B5410" w:rsidRDefault="00000000">
            <w:pPr>
              <w:jc w:val="center"/>
            </w:pPr>
            <w:r>
              <w:rPr>
                <w:rFonts w:ascii="Times New Roman" w:eastAsia="Times New Roman" w:hAnsi="Times New Roman" w:cs="Times New Roman"/>
                <w:sz w:val="16"/>
                <w:szCs w:val="18"/>
              </w:rPr>
              <w:t>2024</w:t>
            </w:r>
          </w:p>
        </w:tc>
        <w:tc>
          <w:tcPr>
            <w:tcW w:w="1741"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26A35791" w14:textId="77777777" w:rsidR="000B5410" w:rsidRDefault="00000000">
            <w:r>
              <w:rPr>
                <w:rFonts w:ascii="Times New Roman" w:eastAsia="Times New Roman" w:hAnsi="Times New Roman" w:cs="Times New Roman"/>
                <w:sz w:val="16"/>
                <w:szCs w:val="18"/>
              </w:rPr>
              <w:t>Bioeconomia, papel, celulose e biomateriais</w:t>
            </w:r>
          </w:p>
        </w:tc>
        <w:tc>
          <w:tcPr>
            <w:tcW w:w="1802"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636313F0" w14:textId="77777777" w:rsidR="000B5410" w:rsidRDefault="00000000">
            <w:r>
              <w:rPr>
                <w:rFonts w:ascii="Times New Roman" w:eastAsia="Times New Roman" w:hAnsi="Times New Roman" w:cs="Times New Roman"/>
                <w:sz w:val="16"/>
                <w:szCs w:val="18"/>
              </w:rPr>
              <w:t>Senai, Sistema Fiep, setor de papel e celulose</w:t>
            </w:r>
          </w:p>
        </w:tc>
        <w:tc>
          <w:tcPr>
            <w:tcW w:w="985" w:type="dxa"/>
            <w:tcBorders>
              <w:top w:val="single" w:sz="8" w:space="0" w:color="000000"/>
              <w:left w:val="single" w:sz="8" w:space="0" w:color="000000"/>
              <w:bottom w:val="single" w:sz="8" w:space="0" w:color="000000"/>
              <w:right w:val="single" w:sz="8" w:space="0" w:color="000000"/>
            </w:tcBorders>
            <w:tcMar>
              <w:top w:w="30" w:type="dxa"/>
              <w:left w:w="35" w:type="dxa"/>
              <w:bottom w:w="30" w:type="dxa"/>
              <w:right w:w="35" w:type="dxa"/>
            </w:tcMar>
            <w:vAlign w:val="center"/>
          </w:tcPr>
          <w:p w14:paraId="6B00DC37" w14:textId="77777777" w:rsidR="000B5410" w:rsidRDefault="00000000">
            <w:pPr>
              <w:jc w:val="center"/>
            </w:pPr>
            <w:r>
              <w:rPr>
                <w:rFonts w:ascii="Times New Roman" w:eastAsia="Times New Roman" w:hAnsi="Times New Roman"/>
                <w:sz w:val="16"/>
              </w:rPr>
              <w:t>15* vínculos</w:t>
            </w:r>
          </w:p>
        </w:tc>
      </w:tr>
    </w:tbl>
    <w:p w14:paraId="6054FEA2" w14:textId="77777777" w:rsidR="000B5410" w:rsidRDefault="00000000">
      <w:pPr>
        <w:keepNext/>
        <w:shd w:val="clear" w:color="auto" w:fill="FFFFFF"/>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18"/>
          <w:szCs w:val="18"/>
        </w:rPr>
        <w:t xml:space="preserve">Fonte: </w:t>
      </w:r>
      <w:r>
        <w:rPr>
          <w:rFonts w:ascii="Times New Roman" w:eastAsia="Times New Roman" w:hAnsi="Times New Roman" w:cs="Times New Roman"/>
          <w:sz w:val="18"/>
          <w:szCs w:val="18"/>
        </w:rPr>
        <w:t>elaborado pelos autores (2026), a partir das fontes institucionais e documentais consultadas.</w:t>
      </w:r>
    </w:p>
    <w:p w14:paraId="37B97D8B" w14:textId="77777777" w:rsidR="000B5410" w:rsidRDefault="00000000">
      <w:pPr>
        <w:keepNext/>
        <w:keepLines/>
        <w:shd w:val="clear" w:color="auto" w:fill="FFFFFF"/>
        <w:spacing w:after="60" w:line="240" w:lineRule="auto"/>
        <w:jc w:val="both"/>
        <w:rPr>
          <w:rFonts w:ascii="Times New Roman" w:eastAsia="Times New Roman" w:hAnsi="Times New Roman" w:cs="Times New Roman"/>
          <w:sz w:val="24"/>
          <w:szCs w:val="24"/>
        </w:rPr>
      </w:pPr>
      <w:r>
        <w:rPr>
          <w:rFonts w:ascii="Times New Roman" w:eastAsia="Times New Roman" w:hAnsi="Times New Roman"/>
          <w:b/>
          <w:sz w:val="17"/>
        </w:rPr>
        <w:t xml:space="preserve">Nota: </w:t>
      </w:r>
      <w:r>
        <w:rPr>
          <w:rFonts w:ascii="Times New Roman" w:eastAsia="Times New Roman" w:hAnsi="Times New Roman"/>
          <w:sz w:val="17"/>
        </w:rPr>
        <w:t>a última coluna preserva a categoria divulgada por cada instituição; por isso, os valores não são equivalentes e servem apenas como indicadores descritivos de escala, não de desempenho. * Estimativa com base nos registros públicos mais recentes. O Biopark informa mais de 170 empresas no ecossistema, entre residentes, incubadas, em desenvolvimento e parceiras. Os marcos de 2025 (Parque Tecnológico da Indústria) e 2024 (Telêmaco Borba) referem-se, respectivamente, à inauguração oficial e ao credenciamento como parque em operação.</w:t>
      </w:r>
    </w:p>
    <w:p w14:paraId="6C2A037F" w14:textId="77777777" w:rsidR="000B5410" w:rsidRDefault="00000000" w:rsidP="000B0BE8">
      <w:pPr>
        <w:keepNext/>
        <w:shd w:val="clear" w:color="auto" w:fill="FFFFFF"/>
        <w:spacing w:before="280"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4.1 Estrutura, governança e tempo de operação</w:t>
      </w:r>
    </w:p>
    <w:p w14:paraId="22D512E7" w14:textId="77777777" w:rsidR="000B5410" w:rsidRDefault="00000000" w:rsidP="000B0BE8">
      <w:pPr>
        <w:shd w:val="clear" w:color="auto" w:fill="FFFFFF"/>
        <w:spacing w:before="280"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dez casos confirmam a diversidade de formas de gestão. Há iniciativa privada, estruturas universitárias, associações e fundações sem fins lucrativos, parques públicos e ambientes vinculados ao Sistema S. Essa distribuição não sustenta a ideia de que uma natureza jurídica específica seja, isoladamente, condição para maior presença empresarial.</w:t>
      </w:r>
    </w:p>
    <w:p w14:paraId="6342F3D2"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 xml:space="preserve">A diversidade também aparece entre os ambientes com maiores indicadores de presença empresarial. O Biopark é privado, a HOTMILK está vinculada a uma universidade privada, o Itaipu Parquetec é administrado por fundação privada sem fins lucrativos e o Parque Tecnológico da Indústria integra o Sistema da Federação das Indústrias do Estado do Paraná (Sistema Fiep). Ao mesmo tempo, a Fundação para o Desenvolvimento Científico e Tecnológico (Fundetec), de natureza pública municipal, mantém 48 empresas incubadas. Os dados sugerem que capacidade de </w:t>
      </w:r>
      <w:r>
        <w:rPr>
          <w:rFonts w:ascii="Times New Roman" w:eastAsia="Times New Roman" w:hAnsi="Times New Roman"/>
          <w:sz w:val="24"/>
        </w:rPr>
        <w:lastRenderedPageBreak/>
        <w:t xml:space="preserve">coordenação, continuidade dos programas e articulação institucional são dimensões mais informativas que a natureza jurídica considerada isoladamente, em linha com Pessôa </w:t>
      </w:r>
      <w:r>
        <w:rPr>
          <w:rFonts w:ascii="Times New Roman" w:eastAsia="Times New Roman" w:hAnsi="Times New Roman"/>
          <w:i/>
          <w:sz w:val="24"/>
        </w:rPr>
        <w:t>et al.</w:t>
      </w:r>
      <w:r>
        <w:rPr>
          <w:rFonts w:ascii="Times New Roman" w:eastAsia="Times New Roman" w:hAnsi="Times New Roman"/>
          <w:sz w:val="24"/>
        </w:rPr>
        <w:t xml:space="preserve"> (2012).</w:t>
      </w:r>
    </w:p>
    <w:p w14:paraId="1A909935"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O tempo de operação também diferencia os casos, mas não explica sozinho a escala alcançada. O Itaipu Parquetec foi criado em 2003, enquanto HOTMILK, Biopark e outros ambientes iniciaram suas trajetórias posteriormente. O Biopark, lançado em 2016, combina território superior a 5 milhões de m², incubação, laboratórios, mentorias e conexão empresarial; em setembro de 2026, a instituição informou reunir mais de 170 empresas no ecossistema, entre residentes, incubadas, em desenvolvimento e parceiras (Biopark, 2026a; Biopark, 2026b).</w:t>
      </w:r>
    </w:p>
    <w:p w14:paraId="38523888"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padrão é compatível com o levantamento nacional de Faria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(2025), que identificou idade média próxima de 12 anos entre os parques brasileiros e mostrou que a ocupação tende a ocorrer gradualmente. No recorte paranaense, o tempo de existência precisa ser interpretado em conjunto com investimento, governança, serviços e intensidade das redes institucionais.</w:t>
      </w:r>
    </w:p>
    <w:p w14:paraId="454F8EAD" w14:textId="77777777" w:rsidR="000B5410" w:rsidRDefault="000B5410" w:rsidP="000B0BE8">
      <w:pPr>
        <w:shd w:val="clear" w:color="auto" w:fill="FFFFFF"/>
        <w:spacing w:after="0" w:line="240" w:lineRule="auto"/>
        <w:ind w:firstLine="720"/>
        <w:jc w:val="both"/>
        <w:rPr>
          <w:rFonts w:ascii="Times New Roman" w:eastAsia="Times New Roman" w:hAnsi="Times New Roman" w:cs="Times New Roman"/>
          <w:sz w:val="24"/>
          <w:szCs w:val="24"/>
        </w:rPr>
      </w:pPr>
    </w:p>
    <w:p w14:paraId="18215173" w14:textId="77777777" w:rsidR="000B5410" w:rsidRDefault="00000000" w:rsidP="000B0BE8">
      <w:pPr>
        <w:keepNext/>
        <w:shd w:val="clear" w:color="auto" w:fill="FFFFFF"/>
        <w:spacing w:before="28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4.2 Escala empresarial e mecanismos de apoio</w:t>
      </w:r>
    </w:p>
    <w:p w14:paraId="513E7102" w14:textId="77777777" w:rsidR="000B5410" w:rsidRDefault="00000000" w:rsidP="000B0BE8">
      <w:pPr>
        <w:shd w:val="clear" w:color="auto" w:fill="FFFFFF"/>
        <w:spacing w:before="280"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 xml:space="preserve">Os valores do Quadro 1 permitem observar diferentes escalas de presença empresarial, desde que respeitadas as categorias adotadas por cada instituição. Biopark, HOTMILK e Itaipu Parquetec apresentam os maiores indicadores nominais, próximos ou superiores a 150 empresas ou </w:t>
      </w:r>
      <w:r>
        <w:rPr>
          <w:rFonts w:ascii="Times New Roman" w:eastAsia="Times New Roman" w:hAnsi="Times New Roman"/>
          <w:i/>
          <w:sz w:val="24"/>
        </w:rPr>
        <w:t>startups</w:t>
      </w:r>
      <w:r>
        <w:rPr>
          <w:rFonts w:ascii="Times New Roman" w:eastAsia="Times New Roman" w:hAnsi="Times New Roman"/>
          <w:sz w:val="24"/>
        </w:rPr>
        <w:t xml:space="preserve"> vinculadas. Parque Tecnológico da Indústria, Maringatech, Fundetec e Cilla Tech Park formam uma faixa intermediária, enquanto Pato Branco, o Instituto de Tecnologia do Paraná (Tecpar) e Telêmaco Borba apresentam números menores ou estruturas mais especializadas. Essa distribuição é descritiva e não constitui ranking de desempenho.</w:t>
      </w:r>
    </w:p>
    <w:p w14:paraId="63823776"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 xml:space="preserve">A HOTMILK, ecossistema de inovação da Pontifícia Universidade Católica do Paraná (PUCPR), representa elevada presença empresarial associada à estrutura universitária. Em abril de 2026, a instituição informava mais de 167 </w:t>
      </w:r>
      <w:r>
        <w:rPr>
          <w:rFonts w:ascii="Times New Roman" w:eastAsia="Times New Roman" w:hAnsi="Times New Roman"/>
          <w:i/>
          <w:sz w:val="24"/>
        </w:rPr>
        <w:t>startups</w:t>
      </w:r>
      <w:r>
        <w:rPr>
          <w:rFonts w:ascii="Times New Roman" w:eastAsia="Times New Roman" w:hAnsi="Times New Roman"/>
          <w:sz w:val="24"/>
        </w:rPr>
        <w:t xml:space="preserve"> residentes, cerca de 5 mil colaboradores e projeção de faturamento conjunto de R$ 720 milhões para 2026. O ecossistema também opera com inovação aberta e atração de </w:t>
      </w:r>
      <w:r>
        <w:rPr>
          <w:rFonts w:ascii="Times New Roman" w:eastAsia="Times New Roman" w:hAnsi="Times New Roman"/>
          <w:i/>
          <w:sz w:val="24"/>
        </w:rPr>
        <w:t>deep techs</w:t>
      </w:r>
      <w:r>
        <w:rPr>
          <w:rFonts w:ascii="Times New Roman" w:eastAsia="Times New Roman" w:hAnsi="Times New Roman"/>
          <w:sz w:val="24"/>
        </w:rPr>
        <w:t xml:space="preserve">, </w:t>
      </w:r>
      <w:r>
        <w:rPr>
          <w:rFonts w:ascii="Times New Roman" w:eastAsia="Times New Roman" w:hAnsi="Times New Roman"/>
          <w:i/>
          <w:sz w:val="24"/>
        </w:rPr>
        <w:t>agtechs</w:t>
      </w:r>
      <w:r>
        <w:rPr>
          <w:rFonts w:ascii="Times New Roman" w:eastAsia="Times New Roman" w:hAnsi="Times New Roman"/>
          <w:sz w:val="24"/>
        </w:rPr>
        <w:t xml:space="preserve"> e </w:t>
      </w:r>
      <w:r>
        <w:rPr>
          <w:rFonts w:ascii="Times New Roman" w:eastAsia="Times New Roman" w:hAnsi="Times New Roman"/>
          <w:i/>
          <w:sz w:val="24"/>
        </w:rPr>
        <w:t>healthtechs</w:t>
      </w:r>
      <w:r>
        <w:rPr>
          <w:rFonts w:ascii="Times New Roman" w:eastAsia="Times New Roman" w:hAnsi="Times New Roman"/>
          <w:sz w:val="24"/>
        </w:rPr>
        <w:t xml:space="preserve"> (Pontifícia Universidade Católica do Paraná, 2026).</w:t>
      </w:r>
    </w:p>
    <w:p w14:paraId="15968CA0"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Itaipu Parquetec reúne laboratórios, instituições de ensino, pesquisa aplicada e mecanismos de empreendedorismo. Publicação de 2025 registrou cerca de 150 </w:t>
      </w:r>
      <w:r>
        <w:rPr>
          <w:rFonts w:ascii="Times New Roman" w:eastAsia="Times New Roman" w:hAnsi="Times New Roman" w:cs="Times New Roman"/>
          <w:i/>
          <w:iCs/>
          <w:sz w:val="24"/>
          <w:szCs w:val="24"/>
        </w:rPr>
        <w:t>startups</w:t>
      </w:r>
      <w:r>
        <w:rPr>
          <w:rFonts w:ascii="Times New Roman" w:eastAsia="Times New Roman" w:hAnsi="Times New Roman" w:cs="Times New Roman"/>
          <w:sz w:val="24"/>
          <w:szCs w:val="24"/>
        </w:rPr>
        <w:t xml:space="preserve"> e empresas residentes e mais de 40 laboratórios ativos (Almanaque Futuro, 2025). O próprio parque acompanha indicadores de </w:t>
      </w:r>
      <w:r>
        <w:rPr>
          <w:rFonts w:ascii="Times New Roman" w:eastAsia="Times New Roman" w:hAnsi="Times New Roman" w:cs="Times New Roman"/>
          <w:i/>
          <w:iCs/>
          <w:sz w:val="24"/>
          <w:szCs w:val="24"/>
        </w:rPr>
        <w:t>startups</w:t>
      </w:r>
      <w:r>
        <w:rPr>
          <w:rFonts w:ascii="Times New Roman" w:eastAsia="Times New Roman" w:hAnsi="Times New Roman" w:cs="Times New Roman"/>
          <w:sz w:val="24"/>
          <w:szCs w:val="24"/>
        </w:rPr>
        <w:t>, empregos, projetos cooperados, captação de recursos e produtos lançados, o que evidencia uma estrutura de gestão orientada a resultados de inovação (Itaipu Parquetec, 2025).</w:t>
      </w:r>
    </w:p>
    <w:p w14:paraId="4B9D9909"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sdt>
        <w:sdtPr>
          <w:tag w:val="goog_rdk_5"/>
          <w:id w:val="1287628056"/>
        </w:sdtPr>
        <w:sdtContent/>
      </w:sdt>
      <w:r>
        <w:rPr>
          <w:rFonts w:ascii="Times New Roman" w:eastAsia="Times New Roman" w:hAnsi="Times New Roman"/>
          <w:sz w:val="24"/>
        </w:rPr>
        <w:t xml:space="preserve">O Parque Tecnológico da Indústria foi inaugurado oficialmente em junho de 2025 (Senai Paraná, 2025). O Sistema Fiep informa 61 empresas e parceiros, mais de 500 </w:t>
      </w:r>
      <w:r>
        <w:rPr>
          <w:rFonts w:ascii="Times New Roman" w:eastAsia="Times New Roman" w:hAnsi="Times New Roman"/>
          <w:i/>
          <w:sz w:val="24"/>
        </w:rPr>
        <w:t>startups</w:t>
      </w:r>
      <w:r>
        <w:rPr>
          <w:rFonts w:ascii="Times New Roman" w:eastAsia="Times New Roman" w:hAnsi="Times New Roman"/>
          <w:sz w:val="24"/>
        </w:rPr>
        <w:t xml:space="preserve"> inscritas, mais de 280 projetos de inovação e mais de R$ 260 milhões em recursos captados (Sistema Fiep, 2026). Já o Maringatech abriga 51 empresas inovadoras registradas no Cadastro Nacional da Pessoa Jurídica (CNPJ), com mais de 350 empregos diretos e indiretos e mais de R$ 13 milhões captados pelas empresas junto a órgãos de fomento (Maringatech, 2026). Nos dois casos, o indicador empresarial é acompanhado por mecanismos de conexão com mercado, pesquisa e financiamento.</w:t>
      </w:r>
    </w:p>
    <w:p w14:paraId="7804CFF9"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 xml:space="preserve">A Fundação para o Desenvolvimento Científico e Tecnológico (Fundetec) mantém 48 empresas incubadas e articula programas com a Prefeitura de Cascavel, o Serviço Brasileiro de Apoio às Micro e Pequenas Empresas (Sebrae), universidades e entidades empresariais. Criada em 1993 e ampliada em 1996 com a implantação do parque tecnológico, consolidou atuação em agroindústria, tecnologia da informação e biotecnologia (Fundetec, 2022; Fundetec, 2026). O Cilla </w:t>
      </w:r>
      <w:r>
        <w:rPr>
          <w:rFonts w:ascii="Times New Roman" w:eastAsia="Times New Roman" w:hAnsi="Times New Roman"/>
          <w:sz w:val="24"/>
        </w:rPr>
        <w:lastRenderedPageBreak/>
        <w:t>Tech Park, fundado em 2020, apresenta rede recente e diversificada; o valor do Quadro 1 é uma estimativa baseada no diretório institucional consultado em 2026 (Cilla Tech Park, 2026).</w:t>
      </w:r>
    </w:p>
    <w:p w14:paraId="6BAB7E43"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Em Pato Branco, a Incubadora Tecnológica municipal e a SprinT da Universidade Tecnológica Federal do Paraná (UTFPR) operam no mesmo ambiente. Os registros públicos de 2025 e 2026 mostram entradas, graduações e ocupação próxima da capacidade, fundamentando a estimativa utilizada no quadro (Pato Branco, 2025; 2026a; 2026b). No Parque Tecnológico da Saúde, a Secretaria da Ciência, Tecnologia e Ensino Superior (SETI) registrou nove empresas na incubadora do Tecpar, além da presença da Fundação Oswaldo Cruz (Fiocruz) e do Instituto de Biologia Molecular do Paraná (IBMP) (Paraná, 2025). Em Telêmaco Borba, o quantitativo é estimativo e deve ser lido à luz da especialização em bioeconomia, papel e celulose e do credenciamento operacional obtido em 2024 (Paraná, 2024).</w:t>
      </w:r>
    </w:p>
    <w:p w14:paraId="2D17C574"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Essas diferenças reforçam que quantidade de empresas é indicador de escala, não de desempenho. Parques especializados podem produzir valor tecnológico por pesquisa, projetos e infraestrutura mesmo com menor número de organizações vinculadas, enquanto ambientes com mais de uma centena de negócios utilizam categorias distintas de residência, associação e participação.</w:t>
      </w:r>
    </w:p>
    <w:p w14:paraId="03FEC963" w14:textId="77777777" w:rsidR="000B5410" w:rsidRDefault="000B5410" w:rsidP="000B0BE8">
      <w:pPr>
        <w:shd w:val="clear" w:color="auto" w:fill="FFFFFF"/>
        <w:spacing w:after="0" w:line="240" w:lineRule="auto"/>
        <w:ind w:firstLine="720"/>
        <w:jc w:val="both"/>
        <w:rPr>
          <w:rFonts w:ascii="Times New Roman" w:eastAsia="Times New Roman" w:hAnsi="Times New Roman" w:cs="Times New Roman"/>
          <w:sz w:val="24"/>
          <w:szCs w:val="24"/>
        </w:rPr>
      </w:pPr>
    </w:p>
    <w:p w14:paraId="60809110" w14:textId="77777777" w:rsidR="000B5410" w:rsidRDefault="00000000" w:rsidP="000B0BE8">
      <w:pPr>
        <w:keepNext/>
        <w:shd w:val="clear" w:color="auto" w:fill="FFFFFF"/>
        <w:spacing w:before="280"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4.3 Articulação entre universidade, empresas e governo</w:t>
      </w:r>
    </w:p>
    <w:p w14:paraId="3F49F232" w14:textId="77777777" w:rsidR="000B5410" w:rsidRDefault="00000000" w:rsidP="000B0BE8">
      <w:pPr>
        <w:shd w:val="clear" w:color="auto" w:fill="FFFFFF"/>
        <w:spacing w:before="280"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articulação institucional aparece em todos os casos, embora diferentes atores assumam posição central. Essa variedade permite observar a Hélice Tríplice sem reduzir os parques a uma única forma de organização.</w:t>
      </w:r>
    </w:p>
    <w:p w14:paraId="12DD4AC6"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 xml:space="preserve">No Biopark, a iniciativa privada estrutura o território e se conecta à Universidade Federal do Paraná (UFPR), à UTFPR e ao Instituto Federal do Paraná (IFPR). Na HOTMILK, a PUCPR funciona como plataforma de acesso a conhecimento, talentos e pesquisa, aproximando </w:t>
      </w:r>
      <w:r>
        <w:rPr>
          <w:rFonts w:ascii="Times New Roman" w:eastAsia="Times New Roman" w:hAnsi="Times New Roman"/>
          <w:i/>
          <w:sz w:val="24"/>
        </w:rPr>
        <w:t>startups</w:t>
      </w:r>
      <w:r>
        <w:rPr>
          <w:rFonts w:ascii="Times New Roman" w:eastAsia="Times New Roman" w:hAnsi="Times New Roman"/>
          <w:sz w:val="24"/>
        </w:rPr>
        <w:t>, corporações e investidores. Em ambos, a presença acadêmica é convertida em mecanismos concretos de desenvolvimento empresarial.</w:t>
      </w:r>
    </w:p>
    <w:p w14:paraId="4E8A42E7"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O Itaipu Parquetec parte da relação com a Itaipu Binacional e conecta demandas tecnológicas a universidades, laboratórios e programas de empreendedorismo. O Parque Tecnológico da Indústria segue lógica semelhante a partir do setor produtivo, reunindo a Federação das Indústrias do Estado do Paraná (Fiep), o Serviço Nacional de Aprendizagem Industrial (Senai), universidades, centros de pesquisa e empresas em torno de desafios industriais.</w:t>
      </w:r>
    </w:p>
    <w:p w14:paraId="293581DE"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Fundetec, o poder público municipal exerce papel articulador ao conectar Prefeitura, universidades, Sebrae, entidades empresariais e negócios incubados. Pato Branco, Maringatech, Cilla Tech Park e Tecpar também apresentam arranjos próprios, com diferentes combinações de protagonismo universitário, empresarial ou governamental. No caso de Pato Branco, a relevância da governança e da articulação entre atores também é destacada por Flôres, Marini e Lemos (2024).</w:t>
      </w:r>
    </w:p>
    <w:p w14:paraId="04C3F559"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elemento comum, portanto, não é o equilíbrio formal entre as três esferas, mas a existência de canais permanentes de interação. O resultado é coerente com Etzkowitz e Leydesdorff (2000) e Etzkowitz e Zhou (2017), para quem a inovação decorre das relações e sobreposições entre universidade, empresas e governo.</w:t>
      </w:r>
    </w:p>
    <w:p w14:paraId="6CA806AF" w14:textId="77777777" w:rsidR="000B5410" w:rsidRDefault="000B5410" w:rsidP="000B0BE8">
      <w:pPr>
        <w:shd w:val="clear" w:color="auto" w:fill="FFFFFF"/>
        <w:spacing w:after="0" w:line="240" w:lineRule="auto"/>
        <w:ind w:firstLine="720"/>
        <w:jc w:val="both"/>
        <w:rPr>
          <w:rFonts w:ascii="Times New Roman" w:eastAsia="Times New Roman" w:hAnsi="Times New Roman" w:cs="Times New Roman"/>
          <w:sz w:val="24"/>
          <w:szCs w:val="24"/>
        </w:rPr>
      </w:pPr>
    </w:p>
    <w:p w14:paraId="05155FFD" w14:textId="77777777" w:rsidR="000B5410" w:rsidRDefault="00000000" w:rsidP="000B0BE8">
      <w:pPr>
        <w:keepNext/>
        <w:shd w:val="clear" w:color="auto" w:fill="FFFFFF"/>
        <w:spacing w:before="280" w:after="0" w:line="240" w:lineRule="auto"/>
        <w:jc w:val="both"/>
        <w:rPr>
          <w:rFonts w:ascii="Times New Roman" w:eastAsia="Times New Roman" w:hAnsi="Times New Roman" w:cs="Times New Roman"/>
          <w:sz w:val="24"/>
          <w:szCs w:val="24"/>
        </w:rPr>
      </w:pPr>
      <w:r>
        <w:rPr>
          <w:rFonts w:ascii="Times New Roman" w:eastAsia="Times New Roman" w:hAnsi="Times New Roman"/>
          <w:b/>
          <w:sz w:val="24"/>
        </w:rPr>
        <w:lastRenderedPageBreak/>
        <w:t>4.4 Características recorrentes e diferenças entre os parques</w:t>
      </w:r>
    </w:p>
    <w:p w14:paraId="20101C7E" w14:textId="77777777" w:rsidR="000B5410" w:rsidRDefault="00000000" w:rsidP="000B0BE8">
      <w:pPr>
        <w:shd w:val="clear" w:color="auto" w:fill="FFFFFF"/>
        <w:spacing w:before="280"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A comparação permite identificar cinco dimensões recorrentes no conjunto dos dez parques, embora com diferentes níveis de estruturação e intensidade. A primeira é a disponibilidade de infraestrutura especializada acompanhada de serviços. Laboratórios, prototipagem, incubadoras e ambientes corporativos ganham valor quando associados a mentorias, apoio gerencial, acesso a financiamento e conexão com investidores. A segunda é a continuidade dos mecanismos de desenvolvimento empresarial, como incubação, aceleração e inovação aberta, que transforma o parque em plataforma de crescimento e não apenas em espaço físico.</w:t>
      </w:r>
    </w:p>
    <w:p w14:paraId="2521CE5D"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A terceira dimensão é a proximidade com fontes de conhecimento e formação de pessoas. Universidades e instituições científicas aparecem de forma recorrente, mas sua contribuição varia conforme se converte em pesquisa aplicada, projetos cooperativos, acesso a laboratórios e disponibilidade de talentos. A quarta é o alinhamento entre vocação tecnológica e estrutura econômica regional: Toledo e Cascavel mantêm forte conexão com agroindústria e biotecnologia; Telêmaco Borba com papel, celulose e bioeconomia; Curitiba com saúde e indústria; Foz do Iguaçu com energia e sustentabilidade; e Pato Branco com tecnologia da informação e engenharia.</w:t>
      </w:r>
    </w:p>
    <w:p w14:paraId="1CF68F4B"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A quinta dimensão é a capacidade de articulação e acesso ao mercado. Os parques diferem quanto à amplitude das conexões com clientes, pesquisadores, grandes corporações, investidores e programas de fomento. Os resultados do Maringatech em captação e empregos e do Parque Tecnológico da Indústria em projetos e recursos mobilizados ilustram como indicadores complementares ajudam a interpretar a presença empresarial para além do número de organizações vinculadas.</w:t>
      </w:r>
    </w:p>
    <w:p w14:paraId="39E3EAFE"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sdt>
        <w:sdtPr>
          <w:tag w:val="goog_rdk_6"/>
          <w:id w:val="726019734"/>
        </w:sdtPr>
        <w:sdtContent/>
      </w:sdt>
      <w:r>
        <w:rPr>
          <w:rFonts w:ascii="Times New Roman" w:eastAsia="Times New Roman" w:hAnsi="Times New Roman"/>
          <w:sz w:val="24"/>
        </w:rPr>
        <w:t>Essas dimensões não são exclusivas dos parques com maior presença empresarial e, por isso, não são tratadas como fatores causais. O que diferencia os casos é a forma como infraestrutura, serviços, conhecimento, especialização produtiva e redes institucionais se combinam. Nos ambientes com maiores indicadores nominais, como Biopark, HOTMILK e Itaipu Parquetec, observa-se simultaneamente maior concentração de empresas e ampla oferta de mecanismos de apoio; nos casos de menor escala, aparecem estruturas mais especializadas ou trajetórias operacionais recentes.</w:t>
      </w:r>
    </w:p>
    <w:p w14:paraId="77BAD555"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A pergunta-problema pode, assim, ser respondida indicando que os parques em operação no Paraná se diferenciam menos pela presença ou ausência dessas dimensões e mais pela intensidade, amplitude e combinação em que elas aparecem. Os maiores indicadores de presença empresarial coexistem, em diversos casos, com mecanismos mais amplos de apoio e articulação, enquanto ambientes menores tendem a apresentar especializações mais delimitadas ou trajetórias recentes. Dada a heterogeneidade das categorias divulgadas, essa relação é descritiva e não permite inferir causalidade.</w:t>
      </w:r>
    </w:p>
    <w:p w14:paraId="57CEBD32" w14:textId="77777777" w:rsidR="000B0BE8" w:rsidRDefault="00000000" w:rsidP="000B0BE8">
      <w:pPr>
        <w:keepNext/>
        <w:shd w:val="clear" w:color="auto" w:fill="FFFFFF"/>
        <w:spacing w:before="2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 CONSIDERAÇÕES FINAIS</w:t>
      </w:r>
    </w:p>
    <w:p w14:paraId="42980244" w14:textId="6CB43128" w:rsidR="000B5410" w:rsidRDefault="00000000" w:rsidP="000B0BE8">
      <w:pPr>
        <w:keepNext/>
        <w:shd w:val="clear" w:color="auto" w:fill="FFFFFF"/>
        <w:spacing w:before="280"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 xml:space="preserve">O estudo analisou comparativamente os parques tecnológicos em operação no Paraná, caracterizando seus modelos de gestão, infraestrutura, vocações tecnológicas e articulações institucionais e examinando como essas características se relacionam às diferentes escalas de presença empresarial. O recorte distinguiu o universo estadual de 36 parques dos 10 ambientes </w:t>
      </w:r>
      <w:r>
        <w:rPr>
          <w:rFonts w:ascii="Times New Roman" w:eastAsia="Times New Roman" w:hAnsi="Times New Roman"/>
          <w:sz w:val="24"/>
        </w:rPr>
        <w:lastRenderedPageBreak/>
        <w:t>classificados como em operação, reduzindo distorções decorrentes da comparação entre iniciativas em estágios distintos.</w:t>
      </w:r>
    </w:p>
    <w:p w14:paraId="5C9BD0FB"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parques analisados são heterogêneos quanto à natureza jurídica, tempo de existência, vocação tecnológica e escala empresarial. Não foi identificado um único modelo de gestão capaz de explicar os resultados observados. Entre os ambientes com maior densidade empresarial há iniciativa privada, ecossistema universitário, fundação sem fins lucrativos e parque vinculado ao sistema industrial, enquanto estruturas públicas, como Fundetec e Tecpar, exercem funções relevantes em seus contextos.</w:t>
      </w:r>
    </w:p>
    <w:p w14:paraId="60AD04B3"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Cinco dimensões apareceram de forma recorrente no conjunto analisado: infraestrutura especializada, mecanismos contínuos de apoio empresarial, proximidade com universidades e instituições científicas, alinhamento da vocação tecnológica às demandas econômicas regionais e capacidade de conectar empresas a mercados, parceiros, recursos e conhecimento. Elas estão presentes em diferentes combinações e intensidades, o que impede tratá-las como determinantes isolados de maior presença empresarial.</w:t>
      </w:r>
    </w:p>
    <w:p w14:paraId="689A26DC"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A Hélice Tríplice mostrou-se adequada para interpretar os casos, pois universidade, empresas e governo estão presentes em configurações distintas. O elemento central é a existência de relações capazes de transformar conhecimento em projetos, negócios e soluções tecnológicas. A presença empresarial, por sua vez, mostrou-se útil para observar escala, desde que a categoria divulgada por cada parque seja preservada e não seja utilizada isoladamente como indicador de desempenho.</w:t>
      </w:r>
    </w:p>
    <w:p w14:paraId="7CD1ABF9"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A principal limitação do estudo está na ausência de padronização dos indicadores. Os parques divulgam categorias diferentes, como empresas residentes, incubadas, associadas, parceiras e organizações vinculadas, além de utilizarem períodos de referência distintos. A tipologia adotada na pesquisa torna explícitas essas diferenças, mas não elimina a impossibilidade de equivalência quantitativa integral entre os casos.</w:t>
      </w:r>
    </w:p>
    <w:p w14:paraId="12BF586F"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Outra limitação decorre do uso exclusivo de dados secundários e documentais, sem incorporar a percepção dos gestores ou das empresas. Estudos futuros podem operacionalizar explicitamente a atratividade por meio de indicadores padronizados, como taxa de ocupação, crescimento anual de vínculos, retenção empresarial, captação de recursos, empregos, faturamento, investimento em pesquisa e desenvolvimento e propriedade intelectual.</w:t>
      </w:r>
    </w:p>
    <w:p w14:paraId="51B0603B" w14:textId="77777777" w:rsidR="000B5410" w:rsidRDefault="00000000" w:rsidP="000B0BE8">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sz w:val="24"/>
        </w:rPr>
        <w:t>Como contribuição prática, os resultados indicam que a expansão física, isoladamente, não explica as diferenças de presença empresarial. O fortalecimento dos parques depende da transformação da infraestrutura em serviços, conexões e oportunidades, por meio de parcerias com universidades, mecanismos contínuos de incubação e aceleração, aproximação com empresas consolidadas e vocações coerentes com a economia regional.</w:t>
      </w:r>
    </w:p>
    <w:p w14:paraId="7668A354" w14:textId="77777777" w:rsidR="000B5410" w:rsidRDefault="00000000" w:rsidP="000B0BE8">
      <w:pPr>
        <w:shd w:val="clear" w:color="auto" w:fill="FFFFFF"/>
        <w:spacing w:after="0" w:line="240" w:lineRule="auto"/>
        <w:ind w:firstLine="720"/>
        <w:jc w:val="both"/>
        <w:rPr>
          <w:rFonts w:ascii="Times New Roman" w:eastAsia="Times New Roman" w:hAnsi="Times New Roman"/>
          <w:sz w:val="24"/>
        </w:rPr>
      </w:pPr>
      <w:r>
        <w:rPr>
          <w:rFonts w:ascii="Times New Roman" w:eastAsia="Times New Roman" w:hAnsi="Times New Roman"/>
          <w:sz w:val="24"/>
        </w:rPr>
        <w:t>Conclui-se que os parques tecnológicos em operação no Paraná apresentam modelos distintos e diferentes escalas de presença empresarial. Os casos demonstram que a função de plataforma de articulação pode assumir configurações públicas, privadas, universitárias ou associativas. A comparação reforça que infraestrutura, serviços, conhecimento, mercado e instituições devem ser analisados de forma integrada, respeitando a especificidade de cada ambiente e evitando transformar indicadores descritivos em medidas de superioridade.</w:t>
      </w:r>
    </w:p>
    <w:p w14:paraId="3B3DAF20" w14:textId="77777777" w:rsidR="000B0BE8" w:rsidRDefault="000B0BE8" w:rsidP="000B0BE8">
      <w:pPr>
        <w:shd w:val="clear" w:color="auto" w:fill="FFFFFF"/>
        <w:spacing w:after="0" w:line="240" w:lineRule="auto"/>
        <w:ind w:firstLine="720"/>
        <w:jc w:val="both"/>
        <w:rPr>
          <w:rFonts w:ascii="Times New Roman" w:eastAsia="Times New Roman" w:hAnsi="Times New Roman" w:cs="Times New Roman"/>
          <w:sz w:val="24"/>
          <w:szCs w:val="24"/>
        </w:rPr>
      </w:pPr>
    </w:p>
    <w:p w14:paraId="12B2FA90" w14:textId="77777777" w:rsidR="000B5410" w:rsidRDefault="00000000">
      <w:pPr>
        <w:keepNext/>
        <w:shd w:val="clear" w:color="auto" w:fill="FFFFFF"/>
        <w:spacing w:after="12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REFERÊNCIAS</w:t>
      </w:r>
    </w:p>
    <w:p w14:paraId="774322B4" w14:textId="77777777" w:rsidR="000B5410" w:rsidRDefault="00000000" w:rsidP="000B0BE8">
      <w:pPr>
        <w:spacing w:after="40" w:line="240" w:lineRule="auto"/>
      </w:pPr>
      <w:r>
        <w:rPr>
          <w:rFonts w:ascii="Times New Roman" w:eastAsia="Times New Roman" w:hAnsi="Times New Roman" w:cs="Times New Roman"/>
          <w:szCs w:val="24"/>
        </w:rPr>
        <w:t xml:space="preserve">ALMANAQUE FUTURO. </w:t>
      </w:r>
      <w:r>
        <w:rPr>
          <w:rFonts w:ascii="Times New Roman" w:eastAsia="Times New Roman" w:hAnsi="Times New Roman" w:cs="Times New Roman"/>
          <w:b/>
          <w:bCs/>
          <w:szCs w:val="24"/>
        </w:rPr>
        <w:t>Pesquisa, Desenvolvimento e Inovação: a energia que gera ciência</w:t>
      </w:r>
      <w:r>
        <w:rPr>
          <w:rFonts w:ascii="Times New Roman" w:eastAsia="Times New Roman" w:hAnsi="Times New Roman" w:cs="Times New Roman"/>
          <w:szCs w:val="24"/>
        </w:rPr>
        <w:t xml:space="preserve">. 17 maio 2025. Disponível em: </w:t>
      </w:r>
      <w:hyperlink r:id="rId7">
        <w:r>
          <w:rPr>
            <w:rFonts w:ascii="Times New Roman" w:eastAsia="Times New Roman" w:hAnsi="Times New Roman" w:cs="Times New Roman"/>
            <w:color w:val="0563C1"/>
            <w:sz w:val="24"/>
            <w:szCs w:val="24"/>
            <w:u w:val="single"/>
          </w:rPr>
          <w:t>https://almanaquefuturo.com.br/uncategorized/pesquisa-desenvolvimento-e-inovacao-a-energia-que-gera-ciencia/</w:t>
        </w:r>
      </w:hyperlink>
      <w:r>
        <w:rPr>
          <w:rFonts w:ascii="Times New Roman" w:eastAsia="Times New Roman" w:hAnsi="Times New Roman" w:cs="Times New Roman"/>
          <w:szCs w:val="24"/>
        </w:rPr>
        <w:t>. Acesso em: 19 set. 2026.</w:t>
      </w:r>
    </w:p>
    <w:p w14:paraId="65973CAA" w14:textId="77777777" w:rsidR="000B5410" w:rsidRDefault="000B5410" w:rsidP="000B0BE8">
      <w:pPr>
        <w:spacing w:after="40" w:line="240" w:lineRule="auto"/>
      </w:pPr>
    </w:p>
    <w:p w14:paraId="75FF2789" w14:textId="77777777" w:rsidR="000B5410" w:rsidRDefault="00000000" w:rsidP="000B0BE8">
      <w:pPr>
        <w:spacing w:after="40" w:line="240" w:lineRule="auto"/>
      </w:pPr>
      <w:r>
        <w:rPr>
          <w:rFonts w:ascii="Times New Roman" w:eastAsia="Times New Roman" w:hAnsi="Times New Roman" w:cs="Times New Roman"/>
          <w:szCs w:val="24"/>
        </w:rPr>
        <w:t xml:space="preserve">ANPROTEC. </w:t>
      </w:r>
      <w:r>
        <w:rPr>
          <w:rFonts w:ascii="Times New Roman" w:eastAsia="Times New Roman" w:hAnsi="Times New Roman" w:cs="Times New Roman"/>
          <w:b/>
          <w:bCs/>
          <w:szCs w:val="24"/>
        </w:rPr>
        <w:t>Mapeamento dos mecanismos de geração de empreendimentos inovadores no Brasil</w:t>
      </w:r>
      <w:r>
        <w:rPr>
          <w:rFonts w:ascii="Times New Roman" w:eastAsia="Times New Roman" w:hAnsi="Times New Roman" w:cs="Times New Roman"/>
          <w:szCs w:val="24"/>
        </w:rPr>
        <w:t xml:space="preserve">. Brasília: ANPROTEC, 2019. 225 p. Disponível em: </w:t>
      </w:r>
      <w:hyperlink r:id="rId8">
        <w:r>
          <w:rPr>
            <w:rFonts w:ascii="Times New Roman" w:eastAsia="Times New Roman" w:hAnsi="Times New Roman" w:cs="Times New Roman"/>
            <w:color w:val="0563C1"/>
            <w:sz w:val="24"/>
            <w:szCs w:val="24"/>
            <w:u w:val="single"/>
          </w:rPr>
          <w:t>https://anprotec.org.br/site/wp-content/uploads/2019/09/Mapeamento_Empreendimentos_Inovadores.pdf</w:t>
        </w:r>
      </w:hyperlink>
      <w:r>
        <w:rPr>
          <w:rFonts w:ascii="Times New Roman" w:eastAsia="Times New Roman" w:hAnsi="Times New Roman" w:cs="Times New Roman"/>
          <w:szCs w:val="24"/>
        </w:rPr>
        <w:t>. Acesso em: 19 set. 2026.</w:t>
      </w:r>
    </w:p>
    <w:p w14:paraId="589CB48B" w14:textId="77777777" w:rsidR="000B5410" w:rsidRDefault="000B5410" w:rsidP="000B0BE8">
      <w:pPr>
        <w:spacing w:after="40" w:line="240" w:lineRule="auto"/>
      </w:pPr>
    </w:p>
    <w:p w14:paraId="0EC7296B" w14:textId="77777777" w:rsidR="000B5410" w:rsidRDefault="00000000" w:rsidP="000B0BE8">
      <w:pPr>
        <w:spacing w:after="40" w:line="240" w:lineRule="auto"/>
      </w:pPr>
      <w:r>
        <w:rPr>
          <w:rFonts w:ascii="Times New Roman" w:eastAsia="Times New Roman" w:hAnsi="Times New Roman" w:cs="Times New Roman"/>
          <w:szCs w:val="24"/>
        </w:rPr>
        <w:t xml:space="preserve">BIOPARK. </w:t>
      </w:r>
      <w:r>
        <w:rPr>
          <w:rFonts w:ascii="Times New Roman" w:eastAsia="Times New Roman" w:hAnsi="Times New Roman" w:cs="Times New Roman"/>
          <w:b/>
          <w:bCs/>
          <w:szCs w:val="24"/>
        </w:rPr>
        <w:t>Empresas</w:t>
      </w:r>
      <w:r>
        <w:rPr>
          <w:rFonts w:ascii="Times New Roman" w:eastAsia="Times New Roman" w:hAnsi="Times New Roman" w:cs="Times New Roman"/>
          <w:szCs w:val="24"/>
        </w:rPr>
        <w:t xml:space="preserve">. Toledo, [2026a]. Disponível em: </w:t>
      </w:r>
      <w:hyperlink r:id="rId9">
        <w:r>
          <w:rPr>
            <w:rFonts w:ascii="Times New Roman" w:eastAsia="Times New Roman" w:hAnsi="Times New Roman" w:cs="Times New Roman"/>
            <w:color w:val="0563C1"/>
            <w:sz w:val="24"/>
            <w:szCs w:val="24"/>
            <w:u w:val="single"/>
          </w:rPr>
          <w:t>https://biopark.com.br/empresas/</w:t>
        </w:r>
      </w:hyperlink>
      <w:r>
        <w:rPr>
          <w:rFonts w:ascii="Times New Roman" w:eastAsia="Times New Roman" w:hAnsi="Times New Roman" w:cs="Times New Roman"/>
          <w:szCs w:val="24"/>
        </w:rPr>
        <w:t>. Acesso em: 19 set. 2026.</w:t>
      </w:r>
    </w:p>
    <w:p w14:paraId="098C9716" w14:textId="77777777" w:rsidR="000B5410" w:rsidRDefault="000B5410" w:rsidP="000B0BE8">
      <w:pPr>
        <w:spacing w:after="40" w:line="240" w:lineRule="auto"/>
      </w:pPr>
    </w:p>
    <w:p w14:paraId="718CD6B8" w14:textId="77777777" w:rsidR="000B5410" w:rsidRDefault="00000000" w:rsidP="000B0BE8">
      <w:pPr>
        <w:spacing w:after="40" w:line="240" w:lineRule="auto"/>
      </w:pPr>
      <w:r>
        <w:rPr>
          <w:rFonts w:ascii="Times New Roman" w:eastAsia="Times New Roman" w:hAnsi="Times New Roman"/>
        </w:rPr>
        <w:t xml:space="preserve">BIOPARK. </w:t>
      </w:r>
      <w:r>
        <w:rPr>
          <w:rFonts w:ascii="Times New Roman" w:eastAsia="Times New Roman" w:hAnsi="Times New Roman"/>
          <w:b/>
        </w:rPr>
        <w:t>Biopark completa 10 anos, apresenta Donaduzzi Educação e marca celebração com grandes anúncios</w:t>
      </w:r>
      <w:r>
        <w:rPr>
          <w:rFonts w:ascii="Times New Roman" w:eastAsia="Times New Roman" w:hAnsi="Times New Roman"/>
        </w:rPr>
        <w:t>. Toledo, 23 set. 2026b. Disponível em: https://biopark.com.br/2026/09/23/biopark-completa-10-anos-apresenta-donaduzzi-educacao-e-marca-celebracao-com-grandes-anuncios/. Acesso em: 25 set. 2026.</w:t>
      </w:r>
    </w:p>
    <w:p w14:paraId="431645BB" w14:textId="77777777" w:rsidR="000B5410" w:rsidRDefault="000B5410" w:rsidP="000B0BE8">
      <w:pPr>
        <w:spacing w:after="40" w:line="240" w:lineRule="auto"/>
      </w:pPr>
    </w:p>
    <w:p w14:paraId="487DFE8F" w14:textId="77777777" w:rsidR="000B5410" w:rsidRDefault="00000000" w:rsidP="000B0BE8">
      <w:pPr>
        <w:spacing w:after="40" w:line="240" w:lineRule="auto"/>
      </w:pPr>
      <w:r>
        <w:rPr>
          <w:rFonts w:ascii="Times New Roman" w:eastAsia="Times New Roman" w:hAnsi="Times New Roman" w:cs="Times New Roman"/>
          <w:szCs w:val="24"/>
        </w:rPr>
        <w:t xml:space="preserve">BOLLIGER, R. D.; FISCHER, B. B.; AMARAL, M. G.; FARIA, A. F.; SERAFIM, M. P. Are technology parks the same? A typology proposal for an emerging economy. </w:t>
      </w:r>
      <w:r>
        <w:rPr>
          <w:rFonts w:ascii="Times New Roman" w:eastAsia="Times New Roman" w:hAnsi="Times New Roman" w:cs="Times New Roman"/>
          <w:b/>
          <w:bCs/>
          <w:szCs w:val="24"/>
        </w:rPr>
        <w:t>Innovation &amp; Management Review</w:t>
      </w:r>
      <w:r>
        <w:rPr>
          <w:rFonts w:ascii="Times New Roman" w:eastAsia="Times New Roman" w:hAnsi="Times New Roman" w:cs="Times New Roman"/>
          <w:szCs w:val="24"/>
        </w:rPr>
        <w:t xml:space="preserve">, v. 22, n. 4, p. 233-250, 2025. Disponível em: </w:t>
      </w:r>
      <w:hyperlink r:id="rId10">
        <w:r>
          <w:rPr>
            <w:rFonts w:ascii="Times New Roman" w:eastAsia="Times New Roman" w:hAnsi="Times New Roman" w:cs="Times New Roman"/>
            <w:color w:val="0563C1"/>
            <w:sz w:val="24"/>
            <w:szCs w:val="24"/>
            <w:u w:val="single"/>
          </w:rPr>
          <w:t>https://doi.org/10.1108/INMR-12-2023-0245</w:t>
        </w:r>
      </w:hyperlink>
      <w:r>
        <w:rPr>
          <w:rFonts w:ascii="Times New Roman" w:eastAsia="Times New Roman" w:hAnsi="Times New Roman" w:cs="Times New Roman"/>
          <w:szCs w:val="24"/>
        </w:rPr>
        <w:t>. Acesso em: 19 set. 2026.</w:t>
      </w:r>
    </w:p>
    <w:p w14:paraId="249B95CF" w14:textId="77777777" w:rsidR="000B5410" w:rsidRDefault="000B5410" w:rsidP="000B0BE8">
      <w:pPr>
        <w:spacing w:after="40" w:line="240" w:lineRule="auto"/>
      </w:pPr>
    </w:p>
    <w:p w14:paraId="7FCEE237" w14:textId="77777777" w:rsidR="000B5410" w:rsidRDefault="00000000" w:rsidP="000B0BE8">
      <w:pPr>
        <w:spacing w:after="40" w:line="240" w:lineRule="auto"/>
      </w:pPr>
      <w:r>
        <w:rPr>
          <w:rFonts w:ascii="Times New Roman" w:eastAsia="Times New Roman" w:hAnsi="Times New Roman" w:cs="Times New Roman"/>
          <w:szCs w:val="24"/>
        </w:rPr>
        <w:t xml:space="preserve">CARAYANNIS, E. G.; CAMPBELL, D. F. J. </w:t>
      </w:r>
      <w:r>
        <w:rPr>
          <w:rFonts w:ascii="Times New Roman" w:eastAsia="Times New Roman" w:hAnsi="Times New Roman" w:cs="Times New Roman"/>
          <w:b/>
          <w:bCs/>
          <w:szCs w:val="24"/>
        </w:rPr>
        <w:t>Mode 3 knowledge production in quadruple helix innovation systems: 21st-century democracy, innovation, and entrepreneurship for development</w:t>
      </w:r>
      <w:r>
        <w:rPr>
          <w:rFonts w:ascii="Times New Roman" w:eastAsia="Times New Roman" w:hAnsi="Times New Roman" w:cs="Times New Roman"/>
          <w:szCs w:val="24"/>
        </w:rPr>
        <w:t>. New York: Springer, 2012.</w:t>
      </w:r>
    </w:p>
    <w:p w14:paraId="3EC944C7" w14:textId="77777777" w:rsidR="000B5410" w:rsidRDefault="000B5410" w:rsidP="000B0BE8">
      <w:pPr>
        <w:spacing w:after="40" w:line="240" w:lineRule="auto"/>
      </w:pPr>
    </w:p>
    <w:p w14:paraId="4A60563E" w14:textId="77777777" w:rsidR="000B5410" w:rsidRDefault="00000000" w:rsidP="000B0BE8">
      <w:pPr>
        <w:spacing w:after="40" w:line="240" w:lineRule="auto"/>
      </w:pPr>
      <w:r>
        <w:rPr>
          <w:rFonts w:ascii="Times New Roman" w:eastAsia="Times New Roman" w:hAnsi="Times New Roman" w:cs="Times New Roman"/>
          <w:szCs w:val="24"/>
        </w:rPr>
        <w:t xml:space="preserve">CASSIOLATO, J. E.; LASTRES, H. M. M. Sistemas de inovação e desenvolvimento: as implicações de política. </w:t>
      </w:r>
      <w:r>
        <w:rPr>
          <w:rFonts w:ascii="Times New Roman" w:eastAsia="Times New Roman" w:hAnsi="Times New Roman" w:cs="Times New Roman"/>
          <w:b/>
          <w:bCs/>
          <w:szCs w:val="24"/>
        </w:rPr>
        <w:t>São Paulo em Perspectiva</w:t>
      </w:r>
      <w:r>
        <w:rPr>
          <w:rFonts w:ascii="Times New Roman" w:eastAsia="Times New Roman" w:hAnsi="Times New Roman" w:cs="Times New Roman"/>
          <w:szCs w:val="24"/>
        </w:rPr>
        <w:t>, São Paulo, v. 19, n. 1, p. 34-45, 2005.</w:t>
      </w:r>
    </w:p>
    <w:p w14:paraId="6CD95B18" w14:textId="77777777" w:rsidR="000B5410" w:rsidRDefault="000B5410" w:rsidP="000B0BE8">
      <w:pPr>
        <w:spacing w:after="40" w:line="240" w:lineRule="auto"/>
      </w:pPr>
    </w:p>
    <w:p w14:paraId="69888800" w14:textId="77777777" w:rsidR="000B5410" w:rsidRDefault="00000000" w:rsidP="000B0BE8">
      <w:pPr>
        <w:spacing w:after="40" w:line="240" w:lineRule="auto"/>
      </w:pPr>
      <w:r>
        <w:rPr>
          <w:rFonts w:ascii="Times New Roman" w:eastAsia="Times New Roman" w:hAnsi="Times New Roman" w:cs="Times New Roman"/>
          <w:szCs w:val="24"/>
        </w:rPr>
        <w:t xml:space="preserve">CILLA TECH PARK. </w:t>
      </w:r>
      <w:r>
        <w:rPr>
          <w:rFonts w:ascii="Times New Roman" w:eastAsia="Times New Roman" w:hAnsi="Times New Roman" w:cs="Times New Roman"/>
          <w:b/>
          <w:bCs/>
          <w:szCs w:val="24"/>
        </w:rPr>
        <w:t>Negócios</w:t>
      </w:r>
      <w:r>
        <w:rPr>
          <w:rFonts w:ascii="Times New Roman" w:eastAsia="Times New Roman" w:hAnsi="Times New Roman" w:cs="Times New Roman"/>
          <w:szCs w:val="24"/>
        </w:rPr>
        <w:t xml:space="preserve">. Guarapuava, [2026]. Disponível em: </w:t>
      </w:r>
      <w:hyperlink r:id="rId11">
        <w:r>
          <w:rPr>
            <w:rFonts w:ascii="Times New Roman" w:eastAsia="Times New Roman" w:hAnsi="Times New Roman" w:cs="Times New Roman"/>
            <w:color w:val="0563C1"/>
            <w:sz w:val="24"/>
            <w:szCs w:val="24"/>
            <w:u w:val="single"/>
          </w:rPr>
          <w:t>https://ctp.org.br/negocios/</w:t>
        </w:r>
      </w:hyperlink>
      <w:r>
        <w:rPr>
          <w:rFonts w:ascii="Times New Roman" w:eastAsia="Times New Roman" w:hAnsi="Times New Roman" w:cs="Times New Roman"/>
          <w:szCs w:val="24"/>
        </w:rPr>
        <w:t>. Acesso em: 19 set. 2026.</w:t>
      </w:r>
    </w:p>
    <w:p w14:paraId="35D65193" w14:textId="77777777" w:rsidR="000B5410" w:rsidRDefault="000B5410" w:rsidP="000B0BE8">
      <w:pPr>
        <w:spacing w:after="40" w:line="240" w:lineRule="auto"/>
      </w:pPr>
    </w:p>
    <w:p w14:paraId="7A044B9E" w14:textId="77777777" w:rsidR="000B5410" w:rsidRDefault="00000000" w:rsidP="000B0BE8">
      <w:pPr>
        <w:spacing w:after="40" w:line="240" w:lineRule="auto"/>
      </w:pPr>
      <w:r>
        <w:rPr>
          <w:rFonts w:ascii="Times New Roman" w:eastAsia="Times New Roman" w:hAnsi="Times New Roman" w:cs="Times New Roman"/>
          <w:szCs w:val="24"/>
        </w:rPr>
        <w:t xml:space="preserve">ETZKOWITZ, H.; LEYDESDORFF, L. The dynamics of innovation: from National Systems and “Mode 2” to a Triple Helix of university-industry-government relations. </w:t>
      </w:r>
      <w:r>
        <w:rPr>
          <w:rFonts w:ascii="Times New Roman" w:eastAsia="Times New Roman" w:hAnsi="Times New Roman" w:cs="Times New Roman"/>
          <w:b/>
          <w:bCs/>
          <w:szCs w:val="24"/>
        </w:rPr>
        <w:t>Research Policy</w:t>
      </w:r>
      <w:r>
        <w:rPr>
          <w:rFonts w:ascii="Times New Roman" w:eastAsia="Times New Roman" w:hAnsi="Times New Roman" w:cs="Times New Roman"/>
          <w:szCs w:val="24"/>
        </w:rPr>
        <w:t>, v. 29, n. 2, p. 109-123, 2000. DOI: 10.1016/S0048-7333(99)00055-4.</w:t>
      </w:r>
    </w:p>
    <w:p w14:paraId="11D5D6BA" w14:textId="77777777" w:rsidR="000B5410" w:rsidRDefault="000B5410" w:rsidP="000B0BE8">
      <w:pPr>
        <w:spacing w:after="40" w:line="240" w:lineRule="auto"/>
      </w:pPr>
    </w:p>
    <w:p w14:paraId="539B4774" w14:textId="77777777" w:rsidR="000B5410" w:rsidRDefault="00000000" w:rsidP="000B0BE8">
      <w:pPr>
        <w:spacing w:after="40" w:line="240" w:lineRule="auto"/>
      </w:pPr>
      <w:r>
        <w:rPr>
          <w:rFonts w:ascii="Times New Roman" w:eastAsia="Times New Roman" w:hAnsi="Times New Roman" w:cs="Times New Roman"/>
          <w:szCs w:val="24"/>
        </w:rPr>
        <w:t xml:space="preserve">ETZKOWITZ, H.; ZHOU, C. Hélice Tríplice: inovação e empreendedorismo universidade-indústria-governo. </w:t>
      </w:r>
      <w:r>
        <w:rPr>
          <w:rFonts w:ascii="Times New Roman" w:eastAsia="Times New Roman" w:hAnsi="Times New Roman" w:cs="Times New Roman"/>
          <w:b/>
          <w:bCs/>
          <w:szCs w:val="24"/>
        </w:rPr>
        <w:t>Estudos Avançados</w:t>
      </w:r>
      <w:r>
        <w:rPr>
          <w:rFonts w:ascii="Times New Roman" w:eastAsia="Times New Roman" w:hAnsi="Times New Roman" w:cs="Times New Roman"/>
          <w:szCs w:val="24"/>
        </w:rPr>
        <w:t xml:space="preserve">, São Paulo, v. 31, n. 90, p. 23-48, 2017. Disponível em: </w:t>
      </w:r>
      <w:hyperlink r:id="rId12">
        <w:r>
          <w:rPr>
            <w:rFonts w:ascii="Times New Roman" w:eastAsia="Times New Roman" w:hAnsi="Times New Roman" w:cs="Times New Roman"/>
            <w:color w:val="0563C1"/>
            <w:sz w:val="24"/>
            <w:szCs w:val="24"/>
            <w:u w:val="single"/>
          </w:rPr>
          <w:t>https://www.scielo.br/j/ea/a/4gMzWdcjVXCMp5XyNbGYDMQ/?lang=pt</w:t>
        </w:r>
      </w:hyperlink>
      <w:r>
        <w:rPr>
          <w:rFonts w:ascii="Times New Roman" w:eastAsia="Times New Roman" w:hAnsi="Times New Roman" w:cs="Times New Roman"/>
          <w:szCs w:val="24"/>
        </w:rPr>
        <w:t>. Acesso em: 19 set. 2026.</w:t>
      </w:r>
    </w:p>
    <w:p w14:paraId="07111B97" w14:textId="77777777" w:rsidR="000B5410" w:rsidRDefault="000B5410" w:rsidP="000B0BE8">
      <w:pPr>
        <w:spacing w:after="40" w:line="240" w:lineRule="auto"/>
      </w:pPr>
    </w:p>
    <w:p w14:paraId="365C194B" w14:textId="77777777" w:rsidR="000B5410" w:rsidRDefault="00000000" w:rsidP="000B0BE8">
      <w:pPr>
        <w:spacing w:after="40" w:line="240" w:lineRule="auto"/>
      </w:pPr>
      <w:r>
        <w:rPr>
          <w:rFonts w:ascii="Times New Roman" w:eastAsia="Times New Roman" w:hAnsi="Times New Roman" w:cs="Times New Roman"/>
          <w:szCs w:val="24"/>
        </w:rPr>
        <w:t xml:space="preserve">FARIA, A. F. de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w:t>
      </w:r>
      <w:r>
        <w:rPr>
          <w:rFonts w:ascii="Times New Roman" w:eastAsia="Times New Roman" w:hAnsi="Times New Roman" w:cs="Times New Roman"/>
          <w:b/>
          <w:bCs/>
          <w:szCs w:val="24"/>
        </w:rPr>
        <w:t>Evolução, impacto e potencial dos parques tecnológicos do Brasil</w:t>
      </w:r>
      <w:r>
        <w:rPr>
          <w:rFonts w:ascii="Times New Roman" w:eastAsia="Times New Roman" w:hAnsi="Times New Roman" w:cs="Times New Roman"/>
          <w:szCs w:val="24"/>
        </w:rPr>
        <w:t xml:space="preserve">. Viçosa, MG: Ed. da Autora, 2025. Disponível em: </w:t>
      </w:r>
      <w:hyperlink r:id="rId13">
        <w:r>
          <w:rPr>
            <w:rFonts w:ascii="Times New Roman" w:eastAsia="Times New Roman" w:hAnsi="Times New Roman" w:cs="Times New Roman"/>
            <w:color w:val="0563C1"/>
            <w:sz w:val="24"/>
            <w:szCs w:val="24"/>
            <w:u w:val="single"/>
          </w:rPr>
          <w:t>https://repositorio.mcti.gov.br/bitstream/mctic/7170/1/2025_evolucao_impacto_potencial_parques_tecnologicos_brasil.pdf</w:t>
        </w:r>
      </w:hyperlink>
      <w:r>
        <w:rPr>
          <w:rFonts w:ascii="Times New Roman" w:eastAsia="Times New Roman" w:hAnsi="Times New Roman" w:cs="Times New Roman"/>
          <w:szCs w:val="24"/>
        </w:rPr>
        <w:t>. Acesso em: 19 set. 2026.</w:t>
      </w:r>
    </w:p>
    <w:p w14:paraId="064316E2" w14:textId="77777777" w:rsidR="000B5410" w:rsidRDefault="000B5410" w:rsidP="000B0BE8">
      <w:pPr>
        <w:spacing w:after="40" w:line="240" w:lineRule="auto"/>
      </w:pPr>
    </w:p>
    <w:p w14:paraId="56D19E43" w14:textId="77777777" w:rsidR="000B5410" w:rsidRDefault="00000000" w:rsidP="000B0BE8">
      <w:pPr>
        <w:spacing w:after="40" w:line="240" w:lineRule="auto"/>
      </w:pPr>
      <w:sdt>
        <w:sdtPr>
          <w:tag w:val="goog_rdk_7"/>
          <w:id w:val="-1811585266"/>
        </w:sdtPr>
        <w:sdtContent/>
      </w:sdt>
      <w:r>
        <w:rPr>
          <w:rFonts w:ascii="Times New Roman" w:eastAsia="Times New Roman" w:hAnsi="Times New Roman" w:cs="Times New Roman"/>
          <w:szCs w:val="24"/>
        </w:rPr>
        <w:t xml:space="preserve">FLÔRES, A. F.; MARINI, M. J.; LEMOS, B. Análise do Parque Tecnológico de Pato Branco (PR) a partir da governança. </w:t>
      </w:r>
      <w:r>
        <w:rPr>
          <w:rFonts w:ascii="Times New Roman" w:eastAsia="Times New Roman" w:hAnsi="Times New Roman" w:cs="Times New Roman"/>
          <w:b/>
          <w:bCs/>
          <w:szCs w:val="24"/>
        </w:rPr>
        <w:t>Revista Foco</w:t>
      </w:r>
      <w:r>
        <w:rPr>
          <w:rFonts w:ascii="Times New Roman" w:eastAsia="Times New Roman" w:hAnsi="Times New Roman" w:cs="Times New Roman"/>
          <w:szCs w:val="24"/>
        </w:rPr>
        <w:t xml:space="preserve">, v. 17, n. 8, e5948, 2024. Disponível em: </w:t>
      </w:r>
      <w:hyperlink r:id="rId14">
        <w:r>
          <w:rPr>
            <w:rFonts w:ascii="Times New Roman" w:eastAsia="Times New Roman" w:hAnsi="Times New Roman" w:cs="Times New Roman"/>
            <w:color w:val="0563C1"/>
            <w:sz w:val="24"/>
            <w:szCs w:val="24"/>
            <w:u w:val="single"/>
          </w:rPr>
          <w:t>https://ojs.focopublicacoes.com.br/foco/article/view/5948</w:t>
        </w:r>
      </w:hyperlink>
      <w:r>
        <w:rPr>
          <w:rFonts w:ascii="Times New Roman" w:eastAsia="Times New Roman" w:hAnsi="Times New Roman" w:cs="Times New Roman"/>
          <w:szCs w:val="24"/>
        </w:rPr>
        <w:t>. Acesso em: 19 set. 2026.</w:t>
      </w:r>
    </w:p>
    <w:p w14:paraId="42B15917" w14:textId="77777777" w:rsidR="000B5410" w:rsidRDefault="000B5410" w:rsidP="000B0BE8">
      <w:pPr>
        <w:spacing w:after="40" w:line="240" w:lineRule="auto"/>
      </w:pPr>
    </w:p>
    <w:p w14:paraId="28B39EA6" w14:textId="77777777" w:rsidR="000B5410" w:rsidRDefault="00000000" w:rsidP="000B0BE8">
      <w:pPr>
        <w:spacing w:after="40" w:line="240" w:lineRule="auto"/>
      </w:pPr>
      <w:r>
        <w:rPr>
          <w:rFonts w:ascii="Times New Roman" w:eastAsia="Times New Roman" w:hAnsi="Times New Roman" w:cs="Times New Roman"/>
          <w:szCs w:val="24"/>
        </w:rPr>
        <w:t xml:space="preserve">FUNDETEC. </w:t>
      </w:r>
      <w:r>
        <w:rPr>
          <w:rFonts w:ascii="Times New Roman" w:eastAsia="Times New Roman" w:hAnsi="Times New Roman" w:cs="Times New Roman"/>
          <w:b/>
          <w:bCs/>
          <w:szCs w:val="24"/>
        </w:rPr>
        <w:t>Apoio da Fundetec fortalece empresas incubadas</w:t>
      </w:r>
      <w:r>
        <w:rPr>
          <w:rFonts w:ascii="Times New Roman" w:eastAsia="Times New Roman" w:hAnsi="Times New Roman" w:cs="Times New Roman"/>
          <w:szCs w:val="24"/>
        </w:rPr>
        <w:t xml:space="preserve">. Cascavel, 24 nov. 2022. Disponível em: </w:t>
      </w:r>
      <w:hyperlink r:id="rId15">
        <w:r>
          <w:rPr>
            <w:rFonts w:ascii="Times New Roman" w:eastAsia="Times New Roman" w:hAnsi="Times New Roman" w:cs="Times New Roman"/>
            <w:color w:val="0563C1"/>
            <w:sz w:val="24"/>
            <w:szCs w:val="24"/>
            <w:u w:val="single"/>
          </w:rPr>
          <w:t>https://fundetec.org.br/apoio-da-fundetec-fortalece-empresas-incubadas/</w:t>
        </w:r>
      </w:hyperlink>
      <w:r>
        <w:rPr>
          <w:rFonts w:ascii="Times New Roman" w:eastAsia="Times New Roman" w:hAnsi="Times New Roman" w:cs="Times New Roman"/>
          <w:szCs w:val="24"/>
        </w:rPr>
        <w:t>. Acesso em: 19 set. 2026.</w:t>
      </w:r>
    </w:p>
    <w:p w14:paraId="0DDA113D" w14:textId="77777777" w:rsidR="000B5410" w:rsidRDefault="000B5410" w:rsidP="000B0BE8">
      <w:pPr>
        <w:spacing w:after="40" w:line="240" w:lineRule="auto"/>
      </w:pPr>
    </w:p>
    <w:p w14:paraId="01D3F6DA" w14:textId="77777777" w:rsidR="000B5410" w:rsidRDefault="00000000" w:rsidP="000B0BE8">
      <w:pPr>
        <w:spacing w:after="40" w:line="240" w:lineRule="auto"/>
      </w:pPr>
      <w:r>
        <w:rPr>
          <w:rFonts w:ascii="Times New Roman" w:eastAsia="Times New Roman" w:hAnsi="Times New Roman" w:cs="Times New Roman"/>
          <w:szCs w:val="24"/>
        </w:rPr>
        <w:t xml:space="preserve">FUNDETEC. </w:t>
      </w:r>
      <w:r>
        <w:rPr>
          <w:rFonts w:ascii="Times New Roman" w:eastAsia="Times New Roman" w:hAnsi="Times New Roman" w:cs="Times New Roman"/>
          <w:b/>
          <w:bCs/>
          <w:szCs w:val="24"/>
        </w:rPr>
        <w:t>Institucional</w:t>
      </w:r>
      <w:r>
        <w:rPr>
          <w:rFonts w:ascii="Times New Roman" w:eastAsia="Times New Roman" w:hAnsi="Times New Roman" w:cs="Times New Roman"/>
          <w:szCs w:val="24"/>
        </w:rPr>
        <w:t xml:space="preserve">. Cascavel, [2026]. Disponível em: </w:t>
      </w:r>
      <w:hyperlink r:id="rId16">
        <w:r>
          <w:rPr>
            <w:rFonts w:ascii="Times New Roman" w:eastAsia="Times New Roman" w:hAnsi="Times New Roman" w:cs="Times New Roman"/>
            <w:color w:val="0563C1"/>
            <w:sz w:val="24"/>
            <w:szCs w:val="24"/>
            <w:u w:val="single"/>
          </w:rPr>
          <w:t>https://fundetec.org.br/institucional/</w:t>
        </w:r>
      </w:hyperlink>
      <w:r>
        <w:rPr>
          <w:rFonts w:ascii="Times New Roman" w:eastAsia="Times New Roman" w:hAnsi="Times New Roman" w:cs="Times New Roman"/>
          <w:szCs w:val="24"/>
        </w:rPr>
        <w:t>. Acesso em: 19 set. 2026.</w:t>
      </w:r>
    </w:p>
    <w:p w14:paraId="3BB1CAAF" w14:textId="77777777" w:rsidR="000B5410" w:rsidRDefault="000B5410" w:rsidP="000B0BE8">
      <w:pPr>
        <w:spacing w:after="40" w:line="240" w:lineRule="auto"/>
      </w:pPr>
    </w:p>
    <w:p w14:paraId="2EB96BFA" w14:textId="77777777" w:rsidR="000B5410" w:rsidRDefault="00000000" w:rsidP="000B0BE8">
      <w:pPr>
        <w:spacing w:after="40" w:line="240" w:lineRule="auto"/>
      </w:pPr>
      <w:r>
        <w:rPr>
          <w:rFonts w:ascii="Times New Roman" w:eastAsia="Times New Roman" w:hAnsi="Times New Roman" w:cs="Times New Roman"/>
          <w:szCs w:val="24"/>
        </w:rPr>
        <w:t xml:space="preserve">ITAIPU PARQUETEC. </w:t>
      </w:r>
      <w:r>
        <w:rPr>
          <w:rFonts w:ascii="Times New Roman" w:eastAsia="Times New Roman" w:hAnsi="Times New Roman" w:cs="Times New Roman"/>
          <w:b/>
          <w:bCs/>
          <w:szCs w:val="24"/>
        </w:rPr>
        <w:t>2º Caderno de Indicadores 2024</w:t>
      </w:r>
      <w:r>
        <w:rPr>
          <w:rFonts w:ascii="Times New Roman" w:eastAsia="Times New Roman" w:hAnsi="Times New Roman" w:cs="Times New Roman"/>
          <w:szCs w:val="24"/>
        </w:rPr>
        <w:t xml:space="preserve">. Foz do Iguaçu: Itaipu Parquetec, 2025. Disponível em: </w:t>
      </w:r>
      <w:hyperlink r:id="rId17">
        <w:r>
          <w:rPr>
            <w:rFonts w:ascii="Times New Roman" w:eastAsia="Times New Roman" w:hAnsi="Times New Roman" w:cs="Times New Roman"/>
            <w:color w:val="0563C1"/>
            <w:sz w:val="24"/>
            <w:szCs w:val="24"/>
            <w:u w:val="single"/>
          </w:rPr>
          <w:t>https://www.itaipuparquetec.org.br/wp-content/uploads/2025/09/Caderno-de-Indicadores-2024-Itaipu-Parquetec.pdf</w:t>
        </w:r>
      </w:hyperlink>
      <w:r>
        <w:rPr>
          <w:rFonts w:ascii="Times New Roman" w:eastAsia="Times New Roman" w:hAnsi="Times New Roman" w:cs="Times New Roman"/>
          <w:szCs w:val="24"/>
        </w:rPr>
        <w:t>. Acesso em: 19 set. 2026.</w:t>
      </w:r>
    </w:p>
    <w:p w14:paraId="1A701C7B" w14:textId="77777777" w:rsidR="000B5410" w:rsidRDefault="000B5410" w:rsidP="000B0BE8">
      <w:pPr>
        <w:spacing w:after="40" w:line="240" w:lineRule="auto"/>
      </w:pPr>
    </w:p>
    <w:p w14:paraId="5A01592C" w14:textId="77777777" w:rsidR="000B5410" w:rsidRDefault="00000000" w:rsidP="000B0BE8">
      <w:pPr>
        <w:spacing w:after="40" w:line="240" w:lineRule="auto"/>
      </w:pPr>
      <w:r>
        <w:rPr>
          <w:rFonts w:ascii="Times New Roman" w:eastAsia="Times New Roman" w:hAnsi="Times New Roman" w:cs="Times New Roman"/>
          <w:szCs w:val="24"/>
        </w:rPr>
        <w:t xml:space="preserve">LIJPHART, A. Comparative politics and the comparative method. </w:t>
      </w:r>
      <w:r>
        <w:rPr>
          <w:rFonts w:ascii="Times New Roman" w:eastAsia="Times New Roman" w:hAnsi="Times New Roman" w:cs="Times New Roman"/>
          <w:b/>
          <w:bCs/>
          <w:szCs w:val="24"/>
        </w:rPr>
        <w:t>American Political Science Review</w:t>
      </w:r>
      <w:r>
        <w:rPr>
          <w:rFonts w:ascii="Times New Roman" w:eastAsia="Times New Roman" w:hAnsi="Times New Roman" w:cs="Times New Roman"/>
          <w:szCs w:val="24"/>
        </w:rPr>
        <w:t xml:space="preserve">, Washington, v. 65, n. 3, p. 682-693, set. 1971. Disponível em: </w:t>
      </w:r>
      <w:hyperlink r:id="rId18">
        <w:r>
          <w:rPr>
            <w:rFonts w:ascii="Times New Roman" w:eastAsia="Times New Roman" w:hAnsi="Times New Roman" w:cs="Times New Roman"/>
            <w:color w:val="0563C1"/>
            <w:sz w:val="24"/>
            <w:szCs w:val="24"/>
            <w:u w:val="single"/>
          </w:rPr>
          <w:t>https://www.jstor.org/stable/1955513</w:t>
        </w:r>
      </w:hyperlink>
      <w:r>
        <w:rPr>
          <w:rFonts w:ascii="Times New Roman" w:eastAsia="Times New Roman" w:hAnsi="Times New Roman" w:cs="Times New Roman"/>
          <w:szCs w:val="24"/>
        </w:rPr>
        <w:t>. Acesso em: 19 set. 2026.</w:t>
      </w:r>
    </w:p>
    <w:p w14:paraId="00C6D98F" w14:textId="77777777" w:rsidR="000B5410" w:rsidRDefault="000B5410" w:rsidP="000B0BE8">
      <w:pPr>
        <w:spacing w:after="40" w:line="240" w:lineRule="auto"/>
      </w:pPr>
    </w:p>
    <w:p w14:paraId="6794FDFE" w14:textId="77777777" w:rsidR="000B5410" w:rsidRDefault="00000000" w:rsidP="000B0BE8">
      <w:pPr>
        <w:spacing w:after="40" w:line="240" w:lineRule="auto"/>
      </w:pPr>
      <w:r>
        <w:rPr>
          <w:rFonts w:ascii="Times New Roman" w:eastAsia="Times New Roman" w:hAnsi="Times New Roman" w:cs="Times New Roman"/>
          <w:szCs w:val="24"/>
        </w:rPr>
        <w:t xml:space="preserve">MARINGATECH. </w:t>
      </w:r>
      <w:r>
        <w:rPr>
          <w:rFonts w:ascii="Times New Roman" w:eastAsia="Times New Roman" w:hAnsi="Times New Roman" w:cs="Times New Roman"/>
          <w:b/>
          <w:bCs/>
          <w:szCs w:val="24"/>
        </w:rPr>
        <w:t>Sobre nós</w:t>
      </w:r>
      <w:r>
        <w:rPr>
          <w:rFonts w:ascii="Times New Roman" w:eastAsia="Times New Roman" w:hAnsi="Times New Roman" w:cs="Times New Roman"/>
          <w:szCs w:val="24"/>
        </w:rPr>
        <w:t xml:space="preserve">. Maringá, [2026]. Disponível em: </w:t>
      </w:r>
      <w:hyperlink r:id="rId19">
        <w:r>
          <w:rPr>
            <w:rFonts w:ascii="Times New Roman" w:eastAsia="Times New Roman" w:hAnsi="Times New Roman" w:cs="Times New Roman"/>
            <w:color w:val="0563C1"/>
            <w:sz w:val="24"/>
            <w:szCs w:val="24"/>
            <w:u w:val="single"/>
          </w:rPr>
          <w:t>https://maringatech.org.br/sobre-nos</w:t>
        </w:r>
      </w:hyperlink>
      <w:r>
        <w:rPr>
          <w:rFonts w:ascii="Times New Roman" w:eastAsia="Times New Roman" w:hAnsi="Times New Roman" w:cs="Times New Roman"/>
          <w:szCs w:val="24"/>
        </w:rPr>
        <w:t>. Acesso em: 19 set. 2026.</w:t>
      </w:r>
    </w:p>
    <w:p w14:paraId="59E0D835" w14:textId="77777777" w:rsidR="000B5410" w:rsidRDefault="000B5410" w:rsidP="000B0BE8">
      <w:pPr>
        <w:spacing w:after="40" w:line="240" w:lineRule="auto"/>
      </w:pPr>
    </w:p>
    <w:p w14:paraId="21D353E1" w14:textId="77777777" w:rsidR="000B5410" w:rsidRDefault="00000000" w:rsidP="000B0BE8">
      <w:pPr>
        <w:spacing w:after="40" w:line="240" w:lineRule="auto"/>
      </w:pPr>
      <w:r>
        <w:rPr>
          <w:rFonts w:ascii="Times New Roman" w:eastAsia="Times New Roman" w:hAnsi="Times New Roman" w:cs="Times New Roman"/>
          <w:szCs w:val="24"/>
        </w:rPr>
        <w:t xml:space="preserve">PARANÁ. Secretaria da Ciência, Tecnologia e Ensino Superior. </w:t>
      </w:r>
      <w:r>
        <w:rPr>
          <w:rFonts w:ascii="Times New Roman" w:eastAsia="Times New Roman" w:hAnsi="Times New Roman" w:cs="Times New Roman"/>
          <w:b/>
          <w:bCs/>
          <w:szCs w:val="24"/>
        </w:rPr>
        <w:t>Resultado dos ambientes promotores de inovação credenciados: Edital n.º 004/2024</w:t>
      </w:r>
      <w:r>
        <w:rPr>
          <w:rFonts w:ascii="Times New Roman" w:eastAsia="Times New Roman" w:hAnsi="Times New Roman" w:cs="Times New Roman"/>
          <w:szCs w:val="24"/>
        </w:rPr>
        <w:t xml:space="preserve">. Curitiba, 2024. Disponível em: </w:t>
      </w:r>
      <w:hyperlink r:id="rId20">
        <w:r>
          <w:rPr>
            <w:rFonts w:ascii="Times New Roman" w:eastAsia="Times New Roman" w:hAnsi="Times New Roman" w:cs="Times New Roman"/>
            <w:color w:val="0563C1"/>
            <w:sz w:val="24"/>
            <w:szCs w:val="24"/>
            <w:u w:val="single"/>
          </w:rPr>
          <w:t>https://www.seti.pr.gov.br/sites/default/arquivos_restritos/files/documento/2024-11/edital_004-resultado_dos_ambientes_promotores_de_inovacao_credenciados_n.o_04-2024.pdf</w:t>
        </w:r>
      </w:hyperlink>
      <w:r>
        <w:rPr>
          <w:rFonts w:ascii="Times New Roman" w:eastAsia="Times New Roman" w:hAnsi="Times New Roman" w:cs="Times New Roman"/>
          <w:szCs w:val="24"/>
        </w:rPr>
        <w:t>. Acesso em: 19 set. 2026.</w:t>
      </w:r>
    </w:p>
    <w:p w14:paraId="4345A46C" w14:textId="77777777" w:rsidR="000B5410" w:rsidRDefault="000B5410" w:rsidP="000B0BE8">
      <w:pPr>
        <w:spacing w:after="40" w:line="240" w:lineRule="auto"/>
      </w:pPr>
    </w:p>
    <w:p w14:paraId="61C19A39" w14:textId="77777777" w:rsidR="000B5410" w:rsidRDefault="00000000" w:rsidP="000B0BE8">
      <w:pPr>
        <w:spacing w:after="40" w:line="240" w:lineRule="auto"/>
      </w:pPr>
      <w:r>
        <w:rPr>
          <w:rFonts w:ascii="Times New Roman" w:eastAsia="Times New Roman" w:hAnsi="Times New Roman" w:cs="Times New Roman"/>
          <w:szCs w:val="24"/>
        </w:rPr>
        <w:t xml:space="preserve">PARANÁ. Secretaria da Ciência, Tecnologia e Ensino Superior. </w:t>
      </w:r>
      <w:r>
        <w:rPr>
          <w:rFonts w:ascii="Times New Roman" w:eastAsia="Times New Roman" w:hAnsi="Times New Roman" w:cs="Times New Roman"/>
          <w:b/>
          <w:bCs/>
          <w:szCs w:val="24"/>
        </w:rPr>
        <w:t>Estado avalia ambientes de inovação para acelerar desenvolvimento tecnológico</w:t>
      </w:r>
      <w:r>
        <w:rPr>
          <w:rFonts w:ascii="Times New Roman" w:eastAsia="Times New Roman" w:hAnsi="Times New Roman" w:cs="Times New Roman"/>
          <w:szCs w:val="24"/>
        </w:rPr>
        <w:t xml:space="preserve">. Curitiba, 18 ago. 2025. Disponível em: </w:t>
      </w:r>
      <w:hyperlink r:id="rId21">
        <w:r>
          <w:rPr>
            <w:rFonts w:ascii="Times New Roman" w:eastAsia="Times New Roman" w:hAnsi="Times New Roman" w:cs="Times New Roman"/>
            <w:color w:val="0563C1"/>
            <w:sz w:val="24"/>
            <w:szCs w:val="24"/>
            <w:u w:val="single"/>
          </w:rPr>
          <w:t>https://www.seti.pr.gov.br/Noticia/Estado-avalia-ambientes-de-inovacao-para-acelerar-desenvolvimento-tecnologico</w:t>
        </w:r>
      </w:hyperlink>
      <w:r>
        <w:rPr>
          <w:rFonts w:ascii="Times New Roman" w:eastAsia="Times New Roman" w:hAnsi="Times New Roman" w:cs="Times New Roman"/>
          <w:szCs w:val="24"/>
        </w:rPr>
        <w:t>. Acesso em: 19 set. 2026.</w:t>
      </w:r>
    </w:p>
    <w:p w14:paraId="5B46787D" w14:textId="77777777" w:rsidR="000B5410" w:rsidRDefault="000B5410" w:rsidP="000B0BE8">
      <w:pPr>
        <w:spacing w:after="40" w:line="240" w:lineRule="auto"/>
      </w:pPr>
    </w:p>
    <w:p w14:paraId="39892FF3" w14:textId="77777777" w:rsidR="000B5410" w:rsidRDefault="00000000" w:rsidP="000B0BE8">
      <w:pPr>
        <w:spacing w:after="40" w:line="240" w:lineRule="auto"/>
      </w:pPr>
      <w:r>
        <w:rPr>
          <w:rFonts w:ascii="Times New Roman" w:eastAsia="Times New Roman" w:hAnsi="Times New Roman" w:cs="Times New Roman"/>
          <w:szCs w:val="24"/>
        </w:rPr>
        <w:t xml:space="preserve">PARANÁ. Secretaria da Ciência, Tecnologia e Ensino Superior. </w:t>
      </w:r>
      <w:r>
        <w:rPr>
          <w:rFonts w:ascii="Times New Roman" w:eastAsia="Times New Roman" w:hAnsi="Times New Roman" w:cs="Times New Roman"/>
          <w:b/>
          <w:bCs/>
          <w:szCs w:val="24"/>
        </w:rPr>
        <w:t>Sistema de Ambientes Promotores de Inovação do Paraná (SEPARTEC)</w:t>
      </w:r>
      <w:r>
        <w:rPr>
          <w:rFonts w:ascii="Times New Roman" w:eastAsia="Times New Roman" w:hAnsi="Times New Roman" w:cs="Times New Roman"/>
          <w:szCs w:val="24"/>
        </w:rPr>
        <w:t xml:space="preserve">. Curitiba, [2026]. Disponível em: </w:t>
      </w:r>
      <w:hyperlink r:id="rId22">
        <w:r>
          <w:rPr>
            <w:rFonts w:ascii="Times New Roman" w:eastAsia="Times New Roman" w:hAnsi="Times New Roman" w:cs="Times New Roman"/>
            <w:color w:val="0563C1"/>
            <w:sz w:val="24"/>
            <w:szCs w:val="24"/>
            <w:u w:val="single"/>
          </w:rPr>
          <w:t>https://www.seti.pr.gov.br/separtec</w:t>
        </w:r>
      </w:hyperlink>
      <w:r>
        <w:rPr>
          <w:rFonts w:ascii="Times New Roman" w:eastAsia="Times New Roman" w:hAnsi="Times New Roman" w:cs="Times New Roman"/>
          <w:szCs w:val="24"/>
        </w:rPr>
        <w:t>. Acesso em: 19 set. 2026.</w:t>
      </w:r>
    </w:p>
    <w:p w14:paraId="5F013D44" w14:textId="77777777" w:rsidR="000B5410" w:rsidRDefault="000B5410" w:rsidP="000B0BE8">
      <w:pPr>
        <w:spacing w:after="40" w:line="240" w:lineRule="auto"/>
      </w:pPr>
    </w:p>
    <w:p w14:paraId="4D983830" w14:textId="77777777" w:rsidR="000B5410" w:rsidRDefault="00000000" w:rsidP="000B0BE8">
      <w:pPr>
        <w:spacing w:after="40" w:line="240" w:lineRule="auto"/>
      </w:pPr>
      <w:r>
        <w:rPr>
          <w:rFonts w:ascii="Times New Roman" w:eastAsia="Times New Roman" w:hAnsi="Times New Roman" w:cs="Times New Roman"/>
          <w:szCs w:val="24"/>
        </w:rPr>
        <w:t xml:space="preserve">PATO BRANCO. Secretaria Municipal de Ciência, Tecnologia e Inovação. </w:t>
      </w:r>
      <w:r>
        <w:rPr>
          <w:rFonts w:ascii="Times New Roman" w:eastAsia="Times New Roman" w:hAnsi="Times New Roman" w:cs="Times New Roman"/>
          <w:b/>
          <w:bCs/>
          <w:szCs w:val="24"/>
        </w:rPr>
        <w:t>Empresas recebem orientações sobre incubação no Parque Tecnológico</w:t>
      </w:r>
      <w:r>
        <w:rPr>
          <w:rFonts w:ascii="Times New Roman" w:eastAsia="Times New Roman" w:hAnsi="Times New Roman" w:cs="Times New Roman"/>
          <w:szCs w:val="24"/>
        </w:rPr>
        <w:t xml:space="preserve">. Pato Branco, 18 fev. 2025. Disponível em: </w:t>
      </w:r>
      <w:hyperlink r:id="rId23">
        <w:r>
          <w:rPr>
            <w:rFonts w:ascii="Times New Roman" w:eastAsia="Times New Roman" w:hAnsi="Times New Roman" w:cs="Times New Roman"/>
            <w:color w:val="0563C1"/>
            <w:sz w:val="24"/>
            <w:szCs w:val="24"/>
            <w:u w:val="single"/>
          </w:rPr>
          <w:t>https://patobranco.pr.gov.br/empresas-recebem-orientacoes-sobre-incubacao-no-parque-tecnologico/</w:t>
        </w:r>
      </w:hyperlink>
      <w:r>
        <w:rPr>
          <w:rFonts w:ascii="Times New Roman" w:eastAsia="Times New Roman" w:hAnsi="Times New Roman" w:cs="Times New Roman"/>
          <w:szCs w:val="24"/>
        </w:rPr>
        <w:t>. Acesso em: 19 set. 2026.</w:t>
      </w:r>
    </w:p>
    <w:p w14:paraId="63B06526" w14:textId="77777777" w:rsidR="000B5410" w:rsidRDefault="000B5410" w:rsidP="000B0BE8">
      <w:pPr>
        <w:spacing w:after="40" w:line="240" w:lineRule="auto"/>
      </w:pPr>
    </w:p>
    <w:p w14:paraId="0125493C" w14:textId="77777777" w:rsidR="000B5410" w:rsidRDefault="00000000" w:rsidP="000B0BE8">
      <w:pPr>
        <w:spacing w:after="40" w:line="240" w:lineRule="auto"/>
      </w:pPr>
      <w:r>
        <w:rPr>
          <w:rFonts w:ascii="Times New Roman" w:eastAsia="Times New Roman" w:hAnsi="Times New Roman" w:cs="Times New Roman"/>
          <w:szCs w:val="24"/>
        </w:rPr>
        <w:t xml:space="preserve">PATO BRANCO. Secretaria Municipal de Ciência, Tecnologia e Inovação. </w:t>
      </w:r>
      <w:r>
        <w:rPr>
          <w:rFonts w:ascii="Times New Roman" w:eastAsia="Times New Roman" w:hAnsi="Times New Roman" w:cs="Times New Roman"/>
          <w:b/>
          <w:bCs/>
          <w:szCs w:val="24"/>
        </w:rPr>
        <w:t>Parque Tecnológico recebe novas empresas incubadas</w:t>
      </w:r>
      <w:r>
        <w:rPr>
          <w:rFonts w:ascii="Times New Roman" w:eastAsia="Times New Roman" w:hAnsi="Times New Roman" w:cs="Times New Roman"/>
          <w:szCs w:val="24"/>
        </w:rPr>
        <w:t xml:space="preserve">. Pato Branco, 28 jul. 2026a. Disponível em: </w:t>
      </w:r>
      <w:hyperlink r:id="rId24">
        <w:r>
          <w:rPr>
            <w:rFonts w:ascii="Times New Roman" w:eastAsia="Times New Roman" w:hAnsi="Times New Roman" w:cs="Times New Roman"/>
            <w:color w:val="0563C1"/>
            <w:sz w:val="24"/>
            <w:szCs w:val="24"/>
            <w:u w:val="single"/>
          </w:rPr>
          <w:t>https://patobranco.pr.gov.br/parque-tecnologico-recebe-novas-empresas-incubadas/</w:t>
        </w:r>
      </w:hyperlink>
      <w:r>
        <w:rPr>
          <w:rFonts w:ascii="Times New Roman" w:eastAsia="Times New Roman" w:hAnsi="Times New Roman" w:cs="Times New Roman"/>
          <w:szCs w:val="24"/>
        </w:rPr>
        <w:t>. Acesso em: 19 set. 2026.</w:t>
      </w:r>
    </w:p>
    <w:p w14:paraId="0E7741E4" w14:textId="77777777" w:rsidR="000B5410" w:rsidRDefault="000B5410" w:rsidP="000B0BE8">
      <w:pPr>
        <w:spacing w:after="40" w:line="240" w:lineRule="auto"/>
      </w:pPr>
    </w:p>
    <w:p w14:paraId="1027790F" w14:textId="77777777" w:rsidR="000B5410" w:rsidRDefault="00000000" w:rsidP="000B0BE8">
      <w:pPr>
        <w:spacing w:after="40" w:line="240" w:lineRule="auto"/>
      </w:pPr>
      <w:r>
        <w:rPr>
          <w:rFonts w:ascii="Times New Roman" w:eastAsia="Times New Roman" w:hAnsi="Times New Roman" w:cs="Times New Roman"/>
          <w:szCs w:val="24"/>
        </w:rPr>
        <w:t xml:space="preserve">PATO BRANCO. Secretaria Municipal de Ciência, Tecnologia e Inovação. </w:t>
      </w:r>
      <w:r>
        <w:rPr>
          <w:rFonts w:ascii="Times New Roman" w:eastAsia="Times New Roman" w:hAnsi="Times New Roman" w:cs="Times New Roman"/>
          <w:b/>
          <w:bCs/>
          <w:szCs w:val="24"/>
        </w:rPr>
        <w:t>Prefeitura recebe 14 novos incubados na Incubadora Tecnológica de Pato Branco</w:t>
      </w:r>
      <w:r>
        <w:rPr>
          <w:rFonts w:ascii="Times New Roman" w:eastAsia="Times New Roman" w:hAnsi="Times New Roman" w:cs="Times New Roman"/>
          <w:szCs w:val="24"/>
        </w:rPr>
        <w:t xml:space="preserve">. Pato Branco, 16 jan. 2026b. Disponível em: </w:t>
      </w:r>
      <w:hyperlink r:id="rId25">
        <w:r>
          <w:rPr>
            <w:rFonts w:ascii="Times New Roman" w:eastAsia="Times New Roman" w:hAnsi="Times New Roman" w:cs="Times New Roman"/>
            <w:color w:val="0563C1"/>
            <w:sz w:val="24"/>
            <w:szCs w:val="24"/>
            <w:u w:val="single"/>
          </w:rPr>
          <w:t>https://patobranco.pr.gov.br/prefeitura-recebe-14-novos-incubados-na-incubadora-tecnologica-de-pato-branco/</w:t>
        </w:r>
      </w:hyperlink>
      <w:r>
        <w:rPr>
          <w:rFonts w:ascii="Times New Roman" w:eastAsia="Times New Roman" w:hAnsi="Times New Roman" w:cs="Times New Roman"/>
          <w:szCs w:val="24"/>
        </w:rPr>
        <w:t>. Acesso em: 19 set. 2026.</w:t>
      </w:r>
    </w:p>
    <w:p w14:paraId="555C0063" w14:textId="77777777" w:rsidR="000B5410" w:rsidRDefault="000B5410" w:rsidP="000B0BE8">
      <w:pPr>
        <w:spacing w:after="40" w:line="240" w:lineRule="auto"/>
      </w:pPr>
    </w:p>
    <w:p w14:paraId="4587C68B" w14:textId="77777777" w:rsidR="000B5410" w:rsidRDefault="00000000" w:rsidP="000B0BE8">
      <w:pPr>
        <w:spacing w:after="40" w:line="240" w:lineRule="auto"/>
      </w:pPr>
      <w:r>
        <w:rPr>
          <w:rFonts w:ascii="Times New Roman" w:eastAsia="Times New Roman" w:hAnsi="Times New Roman" w:cs="Times New Roman"/>
          <w:szCs w:val="24"/>
        </w:rPr>
        <w:t xml:space="preserve">PESSÔA, L. C.; CIRANI, C. B. S.; SILVA, M. M.; RANGEL, A. S. Parques tecnológicos brasileiros: uma análise comparativa de modelos de gestão. </w:t>
      </w:r>
      <w:r>
        <w:rPr>
          <w:rFonts w:ascii="Times New Roman" w:eastAsia="Times New Roman" w:hAnsi="Times New Roman" w:cs="Times New Roman"/>
          <w:b/>
          <w:bCs/>
          <w:szCs w:val="24"/>
        </w:rPr>
        <w:t>Revista de Administração e Inovação</w:t>
      </w:r>
      <w:r>
        <w:rPr>
          <w:rFonts w:ascii="Times New Roman" w:eastAsia="Times New Roman" w:hAnsi="Times New Roman" w:cs="Times New Roman"/>
          <w:szCs w:val="24"/>
        </w:rPr>
        <w:t xml:space="preserve">, São Paulo, v. 9, n. 2, p. 253-273, abr./jun. 2012. Disponível em: </w:t>
      </w:r>
      <w:hyperlink r:id="rId26">
        <w:r>
          <w:rPr>
            <w:rFonts w:ascii="Times New Roman" w:eastAsia="Times New Roman" w:hAnsi="Times New Roman" w:cs="Times New Roman"/>
            <w:color w:val="0563C1"/>
            <w:sz w:val="24"/>
            <w:szCs w:val="24"/>
            <w:u w:val="single"/>
          </w:rPr>
          <w:t>https://www.researchgate.net/publication/269785704</w:t>
        </w:r>
      </w:hyperlink>
      <w:r>
        <w:rPr>
          <w:rFonts w:ascii="Times New Roman" w:eastAsia="Times New Roman" w:hAnsi="Times New Roman" w:cs="Times New Roman"/>
          <w:szCs w:val="24"/>
        </w:rPr>
        <w:t>. Acesso em: 19 set. 2026.</w:t>
      </w:r>
    </w:p>
    <w:p w14:paraId="04D8AC4C" w14:textId="77777777" w:rsidR="000B5410" w:rsidRDefault="000B5410" w:rsidP="000B0BE8">
      <w:pPr>
        <w:spacing w:after="40" w:line="240" w:lineRule="auto"/>
      </w:pPr>
    </w:p>
    <w:p w14:paraId="0756A55F" w14:textId="77777777" w:rsidR="000B5410" w:rsidRDefault="00000000" w:rsidP="000B0BE8">
      <w:pPr>
        <w:spacing w:after="40" w:line="240" w:lineRule="auto"/>
      </w:pPr>
      <w:r>
        <w:rPr>
          <w:rFonts w:ascii="Times New Roman" w:hAnsi="Times New Roman"/>
        </w:rPr>
        <w:t xml:space="preserve">PONTIFÍCIA UNIVERSIDADE CATÓLICA DO PARANÁ. </w:t>
      </w:r>
      <w:r>
        <w:rPr>
          <w:rFonts w:ascii="Times New Roman" w:hAnsi="Times New Roman"/>
          <w:b/>
        </w:rPr>
        <w:t>Na mídia: matéria da PEGN conta a trajetória de crescimento da HOTMILK</w:t>
      </w:r>
      <w:r>
        <w:rPr>
          <w:rFonts w:ascii="Times New Roman" w:hAnsi="Times New Roman"/>
        </w:rPr>
        <w:t>. Curitiba, 28 abr. 2026. Disponível em: https://hotmilk.pucpr.br/na-midia-pegn/. Acesso em: 19 set. 2026.</w:t>
      </w:r>
    </w:p>
    <w:p w14:paraId="2212E51C" w14:textId="77777777" w:rsidR="000B5410" w:rsidRDefault="000B5410" w:rsidP="000B0BE8">
      <w:pPr>
        <w:spacing w:after="40" w:line="240" w:lineRule="auto"/>
      </w:pPr>
    </w:p>
    <w:p w14:paraId="49EC3478" w14:textId="77777777" w:rsidR="000B5410" w:rsidRDefault="00000000" w:rsidP="000B0BE8">
      <w:pPr>
        <w:spacing w:after="40" w:line="240" w:lineRule="auto"/>
      </w:pPr>
      <w:r>
        <w:rPr>
          <w:rFonts w:ascii="Times New Roman" w:eastAsia="Times New Roman" w:hAnsi="Times New Roman" w:cs="Times New Roman"/>
          <w:szCs w:val="24"/>
        </w:rPr>
        <w:t xml:space="preserve">RAGIN, C. C. </w:t>
      </w:r>
      <w:r>
        <w:rPr>
          <w:rFonts w:ascii="Times New Roman" w:eastAsia="Times New Roman" w:hAnsi="Times New Roman" w:cs="Times New Roman"/>
          <w:b/>
          <w:bCs/>
          <w:szCs w:val="24"/>
        </w:rPr>
        <w:t>The comparative method: moving beyond qualitative and quantitative strategies</w:t>
      </w:r>
      <w:r>
        <w:rPr>
          <w:rFonts w:ascii="Times New Roman" w:eastAsia="Times New Roman" w:hAnsi="Times New Roman" w:cs="Times New Roman"/>
          <w:szCs w:val="24"/>
        </w:rPr>
        <w:t>. Berkeley: University of California Press, 1987.</w:t>
      </w:r>
    </w:p>
    <w:p w14:paraId="05A5BC82" w14:textId="77777777" w:rsidR="000B5410" w:rsidRDefault="00000000" w:rsidP="000B0BE8">
      <w:pPr>
        <w:spacing w:after="40" w:line="240" w:lineRule="auto"/>
      </w:pPr>
      <w:sdt>
        <w:sdtPr>
          <w:tag w:val="goog_rdk_8"/>
          <w:id w:val="-968770396"/>
        </w:sdtPr>
        <w:sdtContent/>
      </w:sdt>
    </w:p>
    <w:p w14:paraId="423D83B2" w14:textId="77777777" w:rsidR="000B5410" w:rsidRDefault="00000000" w:rsidP="000B0BE8">
      <w:pPr>
        <w:spacing w:after="40" w:line="240" w:lineRule="auto"/>
      </w:pPr>
      <w:r>
        <w:rPr>
          <w:rFonts w:ascii="Times New Roman" w:eastAsia="Times New Roman" w:hAnsi="Times New Roman" w:cs="Times New Roman"/>
          <w:szCs w:val="24"/>
        </w:rPr>
        <w:t xml:space="preserve">SENAI PARANÁ. </w:t>
      </w:r>
      <w:r>
        <w:rPr>
          <w:rFonts w:ascii="Times New Roman" w:eastAsia="Times New Roman" w:hAnsi="Times New Roman" w:cs="Times New Roman"/>
          <w:b/>
          <w:bCs/>
          <w:szCs w:val="24"/>
        </w:rPr>
        <w:t>Sistema Fiep inaugura novo Parque Tecnológico da Indústria que é modelo para o Brasil</w:t>
      </w:r>
      <w:r>
        <w:rPr>
          <w:rFonts w:ascii="Times New Roman" w:eastAsia="Times New Roman" w:hAnsi="Times New Roman" w:cs="Times New Roman"/>
          <w:szCs w:val="24"/>
        </w:rPr>
        <w:t xml:space="preserve">. Curitiba, 11 jun. 2025. Disponível em: </w:t>
      </w:r>
      <w:hyperlink r:id="rId27">
        <w:r>
          <w:rPr>
            <w:rFonts w:ascii="Times New Roman" w:eastAsia="Times New Roman" w:hAnsi="Times New Roman" w:cs="Times New Roman"/>
            <w:color w:val="0563C1"/>
            <w:sz w:val="24"/>
            <w:szCs w:val="24"/>
            <w:u w:val="single"/>
          </w:rPr>
          <w:t>https://www.senaipr.org.br/tecnologiaeinovacao/blog/um-novo-capitulo-para-a-industria-parque-tecnologico-e-inaugurado-em-curitiba-1-36128-495671.shtml</w:t>
        </w:r>
      </w:hyperlink>
      <w:r>
        <w:rPr>
          <w:rFonts w:ascii="Times New Roman" w:eastAsia="Times New Roman" w:hAnsi="Times New Roman" w:cs="Times New Roman"/>
          <w:szCs w:val="24"/>
        </w:rPr>
        <w:t>. Acesso em: 19 set. 2026.</w:t>
      </w:r>
    </w:p>
    <w:p w14:paraId="4CF20D8B" w14:textId="77777777" w:rsidR="000B5410" w:rsidRDefault="000B5410" w:rsidP="000B0BE8">
      <w:pPr>
        <w:spacing w:after="40" w:line="240" w:lineRule="auto"/>
      </w:pPr>
    </w:p>
    <w:p w14:paraId="7CFE6B14" w14:textId="77777777" w:rsidR="000B5410" w:rsidRDefault="00000000" w:rsidP="000B0BE8">
      <w:pPr>
        <w:spacing w:after="40" w:line="240" w:lineRule="auto"/>
      </w:pPr>
      <w:r>
        <w:rPr>
          <w:rFonts w:ascii="Times New Roman" w:eastAsia="Times New Roman" w:hAnsi="Times New Roman" w:cs="Times New Roman"/>
          <w:szCs w:val="24"/>
        </w:rPr>
        <w:t xml:space="preserve">SISTEMA FIEP. </w:t>
      </w:r>
      <w:r>
        <w:rPr>
          <w:rFonts w:ascii="Times New Roman" w:eastAsia="Times New Roman" w:hAnsi="Times New Roman" w:cs="Times New Roman"/>
          <w:b/>
          <w:bCs/>
          <w:szCs w:val="24"/>
        </w:rPr>
        <w:t>Parque Tecnológico da Indústria</w:t>
      </w:r>
      <w:r>
        <w:rPr>
          <w:rFonts w:ascii="Times New Roman" w:eastAsia="Times New Roman" w:hAnsi="Times New Roman" w:cs="Times New Roman"/>
          <w:szCs w:val="24"/>
        </w:rPr>
        <w:t xml:space="preserve">. Curitiba, [2026]. Disponível em: </w:t>
      </w:r>
      <w:hyperlink r:id="rId28">
        <w:r>
          <w:rPr>
            <w:rFonts w:ascii="Times New Roman" w:eastAsia="Times New Roman" w:hAnsi="Times New Roman" w:cs="Times New Roman"/>
            <w:color w:val="0563C1"/>
            <w:sz w:val="24"/>
            <w:szCs w:val="24"/>
            <w:u w:val="single"/>
          </w:rPr>
          <w:t>https://www.sistemafiep.org.br/parquetecnologico/</w:t>
        </w:r>
      </w:hyperlink>
      <w:r>
        <w:rPr>
          <w:rFonts w:ascii="Times New Roman" w:eastAsia="Times New Roman" w:hAnsi="Times New Roman" w:cs="Times New Roman"/>
          <w:szCs w:val="24"/>
        </w:rPr>
        <w:t>. Acesso em: 19 set. 2026.</w:t>
      </w:r>
    </w:p>
    <w:p w14:paraId="475ED973" w14:textId="77777777" w:rsidR="000B5410" w:rsidRDefault="000B5410" w:rsidP="000B0BE8">
      <w:pPr>
        <w:spacing w:after="40" w:line="240" w:lineRule="auto"/>
      </w:pPr>
    </w:p>
    <w:p w14:paraId="1CC8DBEF" w14:textId="77777777" w:rsidR="000B5410" w:rsidRDefault="00000000" w:rsidP="000B0BE8">
      <w:pPr>
        <w:spacing w:after="40" w:line="240" w:lineRule="auto"/>
      </w:pPr>
      <w:r>
        <w:rPr>
          <w:rFonts w:ascii="Times New Roman" w:eastAsia="Times New Roman" w:hAnsi="Times New Roman" w:cs="Times New Roman"/>
          <w:szCs w:val="24"/>
        </w:rPr>
        <w:t xml:space="preserve">STEINER, J. E.; CASSIM, M. B.; ROBAZZI, A. C. </w:t>
      </w:r>
      <w:r>
        <w:rPr>
          <w:rFonts w:ascii="Times New Roman" w:eastAsia="Times New Roman" w:hAnsi="Times New Roman" w:cs="Times New Roman"/>
          <w:b/>
          <w:bCs/>
          <w:szCs w:val="24"/>
        </w:rPr>
        <w:t>Parques tecnológicos: ambientes de inovação</w:t>
      </w:r>
      <w:r>
        <w:rPr>
          <w:rFonts w:ascii="Times New Roman" w:eastAsia="Times New Roman" w:hAnsi="Times New Roman" w:cs="Times New Roman"/>
          <w:szCs w:val="24"/>
        </w:rPr>
        <w:t xml:space="preserve">. São Paulo: Instituto de Estudos Avançados da USP, 2008. 41 p. Disponível em: </w:t>
      </w:r>
      <w:hyperlink r:id="rId29">
        <w:r>
          <w:rPr>
            <w:rFonts w:ascii="Times New Roman" w:eastAsia="Times New Roman" w:hAnsi="Times New Roman" w:cs="Times New Roman"/>
            <w:color w:val="0563C1"/>
            <w:sz w:val="24"/>
            <w:szCs w:val="24"/>
            <w:u w:val="single"/>
          </w:rPr>
          <w:t>https://www.iea.usp.br/publicacoes/textos/steinercassimrobazziparquestec.pdf</w:t>
        </w:r>
      </w:hyperlink>
      <w:r>
        <w:rPr>
          <w:rFonts w:ascii="Times New Roman" w:eastAsia="Times New Roman" w:hAnsi="Times New Roman" w:cs="Times New Roman"/>
          <w:szCs w:val="24"/>
        </w:rPr>
        <w:t>. Acesso em: 19 set. 2026.</w:t>
      </w:r>
    </w:p>
    <w:p w14:paraId="60AA1A6B" w14:textId="77777777" w:rsidR="000B5410" w:rsidRDefault="000B5410" w:rsidP="000B0BE8">
      <w:pPr>
        <w:spacing w:after="40" w:line="240" w:lineRule="auto"/>
      </w:pPr>
    </w:p>
    <w:sectPr w:rsidR="000B5410">
      <w:headerReference w:type="default" r:id="rId30"/>
      <w:footerReference w:type="default" r:id="rId31"/>
      <w:pgSz w:w="11906" w:h="16838"/>
      <w:pgMar w:top="1417" w:right="1701" w:bottom="1417" w:left="70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A3A26" w14:textId="77777777" w:rsidR="001655B3" w:rsidRDefault="001655B3">
      <w:pPr>
        <w:spacing w:after="0" w:line="240" w:lineRule="auto"/>
      </w:pPr>
      <w:r>
        <w:separator/>
      </w:r>
    </w:p>
  </w:endnote>
  <w:endnote w:type="continuationSeparator" w:id="0">
    <w:p w14:paraId="205099D8" w14:textId="77777777" w:rsidR="001655B3" w:rsidRDefault="00165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91CD60C-EAAB-4230-B573-4CE5DB41FAE0}"/>
    <w:embedBold r:id="rId2" w:fontKey="{D36EB7B2-922C-4DAE-9A76-66E20CEA7F55}"/>
    <w:embedItalic r:id="rId3" w:fontKey="{6357C69A-7D0A-4E5D-9369-984EB0D3503C}"/>
  </w:font>
  <w:font w:name="Play">
    <w:charset w:val="00"/>
    <w:family w:val="auto"/>
    <w:pitch w:val="default"/>
    <w:embedRegular r:id="rId4" w:fontKey="{3EC7E6C4-F370-49DF-892F-FE710F762FDE}"/>
  </w:font>
  <w:font w:name="Aptos">
    <w:charset w:val="00"/>
    <w:family w:val="swiss"/>
    <w:pitch w:val="variable"/>
    <w:sig w:usb0="20000287" w:usb1="00000003" w:usb2="00000000" w:usb3="00000000" w:csb0="0000019F" w:csb1="00000000"/>
    <w:embedRegular r:id="rId5" w:fontKey="{97B3B87C-CE13-4BFB-B68C-B0DF24A5C4BC}"/>
    <w:embedItalic r:id="rId6" w:fontKey="{17A4A4B0-4CDA-4A9B-A199-29D8F9CB9F82}"/>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7" w:fontKey="{77907570-B49A-4848-999D-88B8242355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FB0B6" w14:textId="77777777" w:rsidR="000B5410" w:rsidRDefault="000B5410">
    <w:pPr>
      <w:pBdr>
        <w:top w:val="nil"/>
        <w:left w:val="nil"/>
        <w:bottom w:val="nil"/>
        <w:right w:val="nil"/>
        <w:between w:val="nil"/>
      </w:pBdr>
      <w:tabs>
        <w:tab w:val="center" w:pos="4252"/>
        <w:tab w:val="right" w:pos="8504"/>
      </w:tabs>
      <w:spacing w:after="0" w:line="240" w:lineRule="auto"/>
      <w:ind w:left="-567" w:hanging="709"/>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0FE2D" w14:textId="77777777" w:rsidR="001655B3" w:rsidRDefault="001655B3">
      <w:pPr>
        <w:spacing w:after="0" w:line="240" w:lineRule="auto"/>
      </w:pPr>
      <w:r>
        <w:separator/>
      </w:r>
    </w:p>
  </w:footnote>
  <w:footnote w:type="continuationSeparator" w:id="0">
    <w:p w14:paraId="6E9D7747" w14:textId="77777777" w:rsidR="001655B3" w:rsidRDefault="001655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D5400" w14:textId="77777777" w:rsidR="000B5410"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inline distT="114300" distB="114300" distL="114300" distR="114300" wp14:anchorId="31B8D5D8" wp14:editId="1AF08FB8">
          <wp:extent cx="6029865" cy="1257300"/>
          <wp:effectExtent l="0" t="0" r="0" b="0"/>
          <wp:docPr id="157024670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029865" cy="12573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410"/>
    <w:rsid w:val="000B0BE8"/>
    <w:rsid w:val="000B5410"/>
    <w:rsid w:val="001655B3"/>
    <w:rsid w:val="001B0EE1"/>
    <w:rsid w:val="00C4305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491F6"/>
  <w15:docId w15:val="{1D4ED231-6075-4719-ABF8-39E23372E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rFonts w:ascii="Aptos" w:eastAsia="Aptos" w:hAnsi="Aptos" w:cs="Aptos"/>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rFonts w:ascii="Aptos" w:eastAsia="Aptos" w:hAnsi="Aptos" w:cs="Aptos"/>
      <w:i/>
      <w:iCs/>
      <w:color w:val="0F4761"/>
    </w:rPr>
  </w:style>
  <w:style w:type="paragraph" w:styleId="Ttulo5">
    <w:name w:val="heading 5"/>
    <w:basedOn w:val="Normal"/>
    <w:next w:val="Normal"/>
    <w:uiPriority w:val="9"/>
    <w:semiHidden/>
    <w:unhideWhenUsed/>
    <w:qFormat/>
    <w:pPr>
      <w:keepNext/>
      <w:keepLines/>
      <w:spacing w:before="80" w:after="40"/>
      <w:outlineLvl w:val="4"/>
    </w:pPr>
    <w:rPr>
      <w:rFonts w:ascii="Aptos" w:eastAsia="Aptos" w:hAnsi="Aptos" w:cs="Aptos"/>
      <w:color w:val="0F4761"/>
    </w:rPr>
  </w:style>
  <w:style w:type="paragraph" w:styleId="Ttulo6">
    <w:name w:val="heading 6"/>
    <w:basedOn w:val="Normal"/>
    <w:next w:val="Normal"/>
    <w:uiPriority w:val="9"/>
    <w:semiHidden/>
    <w:unhideWhenUsed/>
    <w:qFormat/>
    <w:pPr>
      <w:keepNext/>
      <w:keepLines/>
      <w:spacing w:before="40" w:after="0"/>
      <w:outlineLvl w:val="5"/>
    </w:pPr>
    <w:rPr>
      <w:rFonts w:ascii="Aptos" w:eastAsia="Aptos" w:hAnsi="Aptos" w:cs="Aptos"/>
      <w:i/>
      <w:iCs/>
      <w:color w:val="595959"/>
    </w:rPr>
  </w:style>
  <w:style w:type="paragraph" w:styleId="Ttulo7">
    <w:name w:val="heading 7"/>
    <w:basedOn w:val="Normal"/>
    <w:next w:val="Normal"/>
    <w:link w:val="Ttulo7Char"/>
    <w:uiPriority w:val="9"/>
    <w:semiHidden/>
    <w:unhideWhenUsed/>
    <w:qFormat/>
    <w:rsid w:val="00C00B8B"/>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har"/>
    <w:uiPriority w:val="9"/>
    <w:semiHidden/>
    <w:unhideWhenUsed/>
    <w:qFormat/>
    <w:rsid w:val="00C00B8B"/>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har"/>
    <w:uiPriority w:val="9"/>
    <w:semiHidden/>
    <w:unhideWhenUsed/>
    <w:qFormat/>
    <w:rsid w:val="00C00B8B"/>
    <w:pPr>
      <w:keepNext/>
      <w:keepLines/>
      <w:spacing w:after="0"/>
      <w:outlineLvl w:val="8"/>
    </w:pPr>
    <w:rPr>
      <w:rFonts w:asciiTheme="minorHAnsi" w:eastAsiaTheme="majorEastAsia" w:hAnsiTheme="minorHAnsi"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character" w:customStyle="1" w:styleId="Ttulo1Char">
    <w:name w:val="Título 1 Char"/>
    <w:basedOn w:val="Fontepargpadro"/>
    <w:uiPriority w:val="9"/>
    <w:rsid w:val="00C00B8B"/>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uiPriority w:val="9"/>
    <w:semiHidden/>
    <w:rsid w:val="00C00B8B"/>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uiPriority w:val="9"/>
    <w:semiHidden/>
    <w:rsid w:val="00C00B8B"/>
    <w:rPr>
      <w:rFonts w:eastAsiaTheme="majorEastAsia" w:cstheme="majorBidi"/>
      <w:color w:val="0F4761" w:themeColor="accent1" w:themeShade="BF"/>
      <w:sz w:val="28"/>
      <w:szCs w:val="28"/>
    </w:rPr>
  </w:style>
  <w:style w:type="character" w:customStyle="1" w:styleId="Ttulo4Char">
    <w:name w:val="Título 4 Char"/>
    <w:basedOn w:val="Fontepargpadro"/>
    <w:uiPriority w:val="9"/>
    <w:semiHidden/>
    <w:rsid w:val="00C00B8B"/>
    <w:rPr>
      <w:rFonts w:eastAsiaTheme="majorEastAsia" w:cstheme="majorBidi"/>
      <w:i/>
      <w:iCs/>
      <w:color w:val="0F4761" w:themeColor="accent1" w:themeShade="BF"/>
      <w:sz w:val="24"/>
      <w:szCs w:val="21"/>
    </w:rPr>
  </w:style>
  <w:style w:type="character" w:customStyle="1" w:styleId="Ttulo5Char">
    <w:name w:val="Título 5 Char"/>
    <w:basedOn w:val="Fontepargpadro"/>
    <w:uiPriority w:val="9"/>
    <w:semiHidden/>
    <w:rsid w:val="00C00B8B"/>
    <w:rPr>
      <w:rFonts w:eastAsiaTheme="majorEastAsia" w:cstheme="majorBidi"/>
      <w:color w:val="0F4761" w:themeColor="accent1" w:themeShade="BF"/>
      <w:sz w:val="24"/>
      <w:szCs w:val="21"/>
    </w:rPr>
  </w:style>
  <w:style w:type="character" w:customStyle="1" w:styleId="Ttulo6Char">
    <w:name w:val="Título 6 Char"/>
    <w:basedOn w:val="Fontepargpadro"/>
    <w:uiPriority w:val="9"/>
    <w:semiHidden/>
    <w:rsid w:val="00C00B8B"/>
    <w:rPr>
      <w:rFonts w:eastAsiaTheme="majorEastAsia" w:cstheme="majorBidi"/>
      <w:i/>
      <w:iCs/>
      <w:color w:val="595959" w:themeColor="text1" w:themeTint="A6"/>
      <w:sz w:val="24"/>
      <w:szCs w:val="21"/>
    </w:rPr>
  </w:style>
  <w:style w:type="character" w:customStyle="1" w:styleId="Ttulo7Char">
    <w:name w:val="Título 7 Char"/>
    <w:basedOn w:val="Fontepargpadro"/>
    <w:link w:val="Ttulo7"/>
    <w:uiPriority w:val="9"/>
    <w:semiHidden/>
    <w:rsid w:val="00C00B8B"/>
    <w:rPr>
      <w:rFonts w:eastAsiaTheme="majorEastAsia" w:cstheme="majorBidi"/>
      <w:color w:val="595959" w:themeColor="text1" w:themeTint="A6"/>
      <w:sz w:val="24"/>
      <w:szCs w:val="21"/>
    </w:rPr>
  </w:style>
  <w:style w:type="character" w:customStyle="1" w:styleId="Ttulo8Char">
    <w:name w:val="Título 8 Char"/>
    <w:basedOn w:val="Fontepargpadro"/>
    <w:link w:val="Ttulo8"/>
    <w:uiPriority w:val="9"/>
    <w:semiHidden/>
    <w:rsid w:val="00C00B8B"/>
    <w:rPr>
      <w:rFonts w:eastAsiaTheme="majorEastAsia" w:cstheme="majorBidi"/>
      <w:i/>
      <w:iCs/>
      <w:color w:val="272727" w:themeColor="text1" w:themeTint="D8"/>
      <w:sz w:val="24"/>
      <w:szCs w:val="21"/>
    </w:rPr>
  </w:style>
  <w:style w:type="character" w:customStyle="1" w:styleId="Ttulo9Char">
    <w:name w:val="Título 9 Char"/>
    <w:basedOn w:val="Fontepargpadro"/>
    <w:link w:val="Ttulo9"/>
    <w:uiPriority w:val="9"/>
    <w:semiHidden/>
    <w:rsid w:val="00C00B8B"/>
    <w:rPr>
      <w:rFonts w:eastAsiaTheme="majorEastAsia" w:cstheme="majorBidi"/>
      <w:color w:val="272727" w:themeColor="text1" w:themeTint="D8"/>
      <w:sz w:val="24"/>
      <w:szCs w:val="21"/>
    </w:rPr>
  </w:style>
  <w:style w:type="character" w:customStyle="1" w:styleId="TtuloChar">
    <w:name w:val="Título Char"/>
    <w:basedOn w:val="Fontepargpadro"/>
    <w:uiPriority w:val="10"/>
    <w:rsid w:val="00C00B8B"/>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C00B8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00B8B"/>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C00B8B"/>
    <w:rPr>
      <w:rFonts w:ascii="Times New Roman" w:eastAsiaTheme="minorEastAsia" w:hAnsi="Times New Roman"/>
      <w:i/>
      <w:iCs/>
      <w:color w:val="404040" w:themeColor="text1" w:themeTint="BF"/>
      <w:sz w:val="24"/>
      <w:szCs w:val="21"/>
    </w:rPr>
  </w:style>
  <w:style w:type="paragraph" w:styleId="PargrafodaLista">
    <w:name w:val="List Paragraph"/>
    <w:basedOn w:val="Normal"/>
    <w:uiPriority w:val="34"/>
    <w:qFormat/>
    <w:rsid w:val="00C00B8B"/>
    <w:pPr>
      <w:ind w:left="720"/>
      <w:contextualSpacing/>
    </w:pPr>
  </w:style>
  <w:style w:type="character" w:styleId="nfaseIntensa">
    <w:name w:val="Intense Emphasis"/>
    <w:basedOn w:val="Fontepargpadro"/>
    <w:uiPriority w:val="21"/>
    <w:qFormat/>
    <w:rsid w:val="00C00B8B"/>
    <w:rPr>
      <w:i/>
      <w:iCs/>
      <w:color w:val="0F4761" w:themeColor="accent1" w:themeShade="BF"/>
    </w:rPr>
  </w:style>
  <w:style w:type="paragraph" w:styleId="CitaoIntensa">
    <w:name w:val="Intense Quote"/>
    <w:basedOn w:val="Normal"/>
    <w:next w:val="Normal"/>
    <w:link w:val="CitaoIntensaChar"/>
    <w:uiPriority w:val="30"/>
    <w:qFormat/>
    <w:rsid w:val="00C00B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C00B8B"/>
    <w:rPr>
      <w:rFonts w:ascii="Times New Roman" w:eastAsiaTheme="minorEastAsia" w:hAnsi="Times New Roman"/>
      <w:i/>
      <w:iCs/>
      <w:color w:val="0F4761" w:themeColor="accent1" w:themeShade="BF"/>
      <w:sz w:val="24"/>
      <w:szCs w:val="21"/>
    </w:rPr>
  </w:style>
  <w:style w:type="character" w:styleId="RefernciaIntensa">
    <w:name w:val="Intense Reference"/>
    <w:basedOn w:val="Fontepargpadro"/>
    <w:uiPriority w:val="32"/>
    <w:qFormat/>
    <w:rsid w:val="00C00B8B"/>
    <w:rPr>
      <w:b/>
      <w:bCs/>
      <w:smallCaps/>
      <w:color w:val="0F4761" w:themeColor="accent1" w:themeShade="BF"/>
      <w:spacing w:val="5"/>
    </w:rPr>
  </w:style>
  <w:style w:type="paragraph" w:styleId="Cabealho">
    <w:name w:val="header"/>
    <w:basedOn w:val="Normal"/>
    <w:link w:val="CabealhoChar"/>
    <w:uiPriority w:val="99"/>
    <w:unhideWhenUsed/>
    <w:rsid w:val="00C00B8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00B8B"/>
    <w:rPr>
      <w:rFonts w:ascii="Calibri" w:eastAsia="Calibri" w:hAnsi="Calibri" w:cs="Calibri"/>
      <w:kern w:val="0"/>
      <w:lang w:eastAsia="pt-BR"/>
    </w:rPr>
  </w:style>
  <w:style w:type="paragraph" w:styleId="Rodap">
    <w:name w:val="footer"/>
    <w:basedOn w:val="Normal"/>
    <w:link w:val="RodapChar"/>
    <w:uiPriority w:val="99"/>
    <w:unhideWhenUsed/>
    <w:rsid w:val="00C00B8B"/>
    <w:pPr>
      <w:tabs>
        <w:tab w:val="center" w:pos="4252"/>
        <w:tab w:val="right" w:pos="8504"/>
      </w:tabs>
      <w:spacing w:after="0" w:line="240" w:lineRule="auto"/>
    </w:pPr>
  </w:style>
  <w:style w:type="character" w:customStyle="1" w:styleId="RodapChar">
    <w:name w:val="Rodapé Char"/>
    <w:basedOn w:val="Fontepargpadro"/>
    <w:link w:val="Rodap"/>
    <w:uiPriority w:val="99"/>
    <w:rsid w:val="00C00B8B"/>
    <w:rPr>
      <w:rFonts w:ascii="Calibri" w:eastAsia="Calibri" w:hAnsi="Calibri" w:cs="Calibri"/>
      <w:kern w:val="0"/>
      <w:lang w:eastAsia="pt-BR"/>
    </w:rPr>
  </w:style>
  <w:style w:type="character" w:styleId="Hyperlink">
    <w:name w:val="Hyperlink"/>
    <w:basedOn w:val="Fontepargpadro"/>
    <w:uiPriority w:val="99"/>
    <w:unhideWhenUsed/>
    <w:rsid w:val="0045712F"/>
    <w:rPr>
      <w:color w:val="467886" w:themeColor="hyperlink"/>
      <w:u w:val="single"/>
    </w:rPr>
  </w:style>
  <w:style w:type="character" w:styleId="MenoPendente">
    <w:name w:val="Unresolved Mention"/>
    <w:basedOn w:val="Fontepargpadro"/>
    <w:uiPriority w:val="99"/>
    <w:semiHidden/>
    <w:unhideWhenUsed/>
    <w:rsid w:val="0045712F"/>
    <w:rPr>
      <w:color w:val="605E5C"/>
      <w:shd w:val="clear" w:color="auto" w:fill="E1DFDD"/>
    </w:rPr>
  </w:style>
  <w:style w:type="table" w:styleId="Tabelacomgrade">
    <w:name w:val="Table Grid"/>
    <w:basedOn w:val="Tabelanormal"/>
    <w:uiPriority w:val="39"/>
    <w:rsid w:val="006B0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uiPriority w:val="99"/>
    <w:semiHidden/>
    <w:unhideWhenUsed/>
    <w:rsid w:val="00F50A92"/>
    <w:rPr>
      <w:color w:val="96607D" w:themeColor="followedHyperlink"/>
      <w:u w:val="single"/>
    </w:rPr>
  </w:style>
  <w:style w:type="table" w:customStyle="1" w:styleId="a">
    <w:basedOn w:val="TableNormal1"/>
    <w:pPr>
      <w:spacing w:after="0" w:line="240" w:lineRule="auto"/>
    </w:pPr>
    <w:tblPr>
      <w:tblStyleRowBandSize w:val="1"/>
      <w:tblStyleColBandSize w:val="1"/>
      <w:tblCellMar>
        <w:top w:w="0" w:type="dxa"/>
        <w:left w:w="108" w:type="dxa"/>
        <w:bottom w:w="0" w:type="dxa"/>
        <w:right w:w="108" w:type="dxa"/>
      </w:tblCellMar>
    </w:tblPr>
  </w:style>
  <w:style w:type="character" w:styleId="Refdecomentrio">
    <w:name w:val="annotation reference"/>
    <w:basedOn w:val="Fontepargpadro"/>
    <w:uiPriority w:val="99"/>
    <w:semiHidden/>
    <w:unhideWhenUsed/>
    <w:rsid w:val="00843662"/>
    <w:rPr>
      <w:sz w:val="16"/>
      <w:szCs w:val="16"/>
    </w:rPr>
  </w:style>
  <w:style w:type="paragraph" w:styleId="Textodecomentrio">
    <w:name w:val="annotation text"/>
    <w:basedOn w:val="Normal"/>
    <w:link w:val="TextodecomentrioChar"/>
    <w:uiPriority w:val="99"/>
    <w:semiHidden/>
    <w:unhideWhenUsed/>
    <w:rsid w:val="00843662"/>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843662"/>
    <w:rPr>
      <w:sz w:val="20"/>
      <w:szCs w:val="20"/>
    </w:rPr>
  </w:style>
  <w:style w:type="paragraph" w:styleId="Assuntodocomentrio">
    <w:name w:val="annotation subject"/>
    <w:basedOn w:val="Textodecomentrio"/>
    <w:next w:val="Textodecomentrio"/>
    <w:link w:val="AssuntodocomentrioChar"/>
    <w:uiPriority w:val="99"/>
    <w:semiHidden/>
    <w:unhideWhenUsed/>
    <w:rsid w:val="00843662"/>
    <w:rPr>
      <w:b/>
      <w:bCs/>
    </w:rPr>
  </w:style>
  <w:style w:type="character" w:customStyle="1" w:styleId="AssuntodocomentrioChar">
    <w:name w:val="Assunto do comentário Char"/>
    <w:basedOn w:val="TextodecomentrioChar"/>
    <w:link w:val="Assuntodocomentrio"/>
    <w:uiPriority w:val="99"/>
    <w:semiHidden/>
    <w:rsid w:val="00843662"/>
    <w:rPr>
      <w:b/>
      <w:bCs/>
      <w:sz w:val="20"/>
      <w:szCs w:val="20"/>
    </w:rPr>
  </w:style>
  <w:style w:type="paragraph" w:styleId="Reviso">
    <w:name w:val="Revision"/>
    <w:hidden/>
    <w:uiPriority w:val="99"/>
    <w:semiHidden/>
    <w:rsid w:val="006E40E5"/>
    <w:pPr>
      <w:spacing w:after="0" w:line="240" w:lineRule="auto"/>
    </w:pPr>
  </w:style>
  <w:style w:type="paragraph" w:styleId="Subttulo">
    <w:name w:val="Subtitle"/>
    <w:basedOn w:val="Normal"/>
    <w:next w:val="Normal"/>
    <w:uiPriority w:val="11"/>
    <w:qFormat/>
    <w:pPr>
      <w:spacing w:after="160"/>
    </w:pPr>
    <w:rPr>
      <w:rFonts w:ascii="Aptos" w:eastAsia="Aptos" w:hAnsi="Aptos" w:cs="Aptos"/>
      <w:color w:val="595959"/>
      <w:sz w:val="28"/>
      <w:szCs w:val="28"/>
    </w:r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repositorio.mcti.gov.br/bitstream/mctic/7170/1/2025_evolucao_impacto_potencial_parques_tecnologicos_brasil.pdf" TargetMode="External"/><Relationship Id="rId18" Type="http://schemas.openxmlformats.org/officeDocument/2006/relationships/hyperlink" Target="https://www.jstor.org/stable/1955513" TargetMode="External"/><Relationship Id="rId26" Type="http://schemas.openxmlformats.org/officeDocument/2006/relationships/hyperlink" Target="https://www.researchgate.net/publication/269785704" TargetMode="External"/><Relationship Id="rId3" Type="http://schemas.openxmlformats.org/officeDocument/2006/relationships/settings" Target="settings.xml"/><Relationship Id="rId21" Type="http://schemas.openxmlformats.org/officeDocument/2006/relationships/hyperlink" Target="https://www.seti.pr.gov.br/Noticia/Estado-avalia-ambientes-de-inovacao-para-acelerar-desenvolvimento-tecnologico" TargetMode="External"/><Relationship Id="rId7" Type="http://schemas.openxmlformats.org/officeDocument/2006/relationships/hyperlink" Target="https://almanaquefuturo.com.br/uncategorized/pesquisa-desenvolvimento-e-inovacao-a-energia-que-gera-ciencia/" TargetMode="External"/><Relationship Id="rId12" Type="http://schemas.openxmlformats.org/officeDocument/2006/relationships/hyperlink" Target="https://www.scielo.br/j/ea/a/4gMzWdcjVXCMp5XyNbGYDMQ/?lang=pt" TargetMode="External"/><Relationship Id="rId17" Type="http://schemas.openxmlformats.org/officeDocument/2006/relationships/hyperlink" Target="https://www.itaipuparquetec.org.br/wp-content/uploads/2025/09/Caderno-de-Indicadores-2024-Itaipu-Parquetec.pdf" TargetMode="External"/><Relationship Id="rId25" Type="http://schemas.openxmlformats.org/officeDocument/2006/relationships/hyperlink" Target="https://patobranco.pr.gov.br/prefeitura-recebe-14-novos-incubados-na-incubadora-tecnologica-de-pato-branco/"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fundetec.org.br/institucional/" TargetMode="External"/><Relationship Id="rId20" Type="http://schemas.openxmlformats.org/officeDocument/2006/relationships/hyperlink" Target="https://www.seti.pr.gov.br/sites/default/arquivos_restritos/files/documento/2024-11/edital_004-resultado_dos_ambientes_promotores_de_inovacao_credenciados_n.o_04-2024.pdf" TargetMode="External"/><Relationship Id="rId29" Type="http://schemas.openxmlformats.org/officeDocument/2006/relationships/hyperlink" Target="https://www.iea.usp.br/publicacoes/textos/steinercassimrobazziparquestec.pdf"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ctp.org.br/negocios/" TargetMode="External"/><Relationship Id="rId24" Type="http://schemas.openxmlformats.org/officeDocument/2006/relationships/hyperlink" Target="https://patobranco.pr.gov.br/parque-tecnologico-recebe-novas-empresas-incubadas/"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fundetec.org.br/apoio-da-fundetec-fortalece-empresas-incubadas/" TargetMode="External"/><Relationship Id="rId23" Type="http://schemas.openxmlformats.org/officeDocument/2006/relationships/hyperlink" Target="https://patobranco.pr.gov.br/empresas-recebem-orientacoes-sobre-incubacao-no-parque-tecnologico/" TargetMode="External"/><Relationship Id="rId28" Type="http://schemas.openxmlformats.org/officeDocument/2006/relationships/hyperlink" Target="https://www.sistemafiep.org.br/parquetecnologico/" TargetMode="External"/><Relationship Id="rId10" Type="http://schemas.openxmlformats.org/officeDocument/2006/relationships/hyperlink" Target="https://doi.org/10.1108/INMR-12-2023-0245" TargetMode="External"/><Relationship Id="rId19" Type="http://schemas.openxmlformats.org/officeDocument/2006/relationships/hyperlink" Target="https://maringatech.org.br/sobre-nos"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biopark.com.br/empresas/" TargetMode="External"/><Relationship Id="rId14" Type="http://schemas.openxmlformats.org/officeDocument/2006/relationships/hyperlink" Target="https://ojs.focopublicacoes.com.br/foco/article/view/5948" TargetMode="External"/><Relationship Id="rId22" Type="http://schemas.openxmlformats.org/officeDocument/2006/relationships/hyperlink" Target="https://www.seti.pr.gov.br/separtec" TargetMode="External"/><Relationship Id="rId27" Type="http://schemas.openxmlformats.org/officeDocument/2006/relationships/hyperlink" Target="https://www.senaipr.org.br/tecnologiaeinovacao/blog/um-novo-capitulo-para-a-industria-parque-tecnologico-e-inaugurado-em-curitiba-1-36128-495671.shtml" TargetMode="External"/><Relationship Id="rId30" Type="http://schemas.openxmlformats.org/officeDocument/2006/relationships/header" Target="header1.xml"/><Relationship Id="rId8" Type="http://schemas.openxmlformats.org/officeDocument/2006/relationships/hyperlink" Target="https://anprotec.org.br/site/wp-content/uploads/2019/09/Mapeamento_Empreendimentos_Inovadores.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tdXnzJfSj8Lei6iE1YckSSLvpA==">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6157</Words>
  <Characters>33250</Characters>
  <Application>Microsoft Office Word</Application>
  <DocSecurity>0</DocSecurity>
  <Lines>277</Lines>
  <Paragraphs>78</Paragraphs>
  <ScaleCrop>false</ScaleCrop>
  <Company/>
  <LinksUpToDate>false</LinksUpToDate>
  <CharactersWithSpaces>39329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Nai Stefanello</dc:creator>
  <cp:lastModifiedBy>Alecio Meurer</cp:lastModifiedBy>
  <cp:revision>3</cp:revision>
  <dcterms:created xsi:type="dcterms:W3CDTF">2026-09-25T18:10:00Z</dcterms:created>
  <dcterms:modified xsi:type="dcterms:W3CDTF">2026-09-25T18:12:00Z</dcterms:modified>
</cp:coreProperties>
</file>