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DB5C26" w14:textId="77777777" w:rsidR="00582199" w:rsidRDefault="00582199" w:rsidP="00E709F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BEB8691" w14:textId="5B107EBF" w:rsidR="00A70CC6" w:rsidRPr="00E709F5" w:rsidRDefault="00E709F5" w:rsidP="00E709F5">
      <w:pPr>
        <w:jc w:val="center"/>
        <w:rPr>
          <w:rFonts w:ascii="Times New Roman" w:hAnsi="Times New Roman" w:cs="Times New Roman"/>
          <w:sz w:val="24"/>
          <w:szCs w:val="24"/>
        </w:rPr>
      </w:pPr>
      <w:r w:rsidRPr="000D6C84">
        <w:rPr>
          <w:rFonts w:ascii="Times New Roman" w:hAnsi="Times New Roman" w:cs="Times New Roman"/>
          <w:b/>
          <w:bCs/>
          <w:sz w:val="24"/>
          <w:szCs w:val="24"/>
        </w:rPr>
        <w:t>PERFIL DAS EMPRESAS NO SHOPPING CATUAÍ</w:t>
      </w:r>
    </w:p>
    <w:p w14:paraId="05963076" w14:textId="2A34508F" w:rsidR="00A70CC6" w:rsidRDefault="005821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Modalidade: Resumo expandido</w:t>
      </w:r>
    </w:p>
    <w:p w14:paraId="103BDFAA" w14:textId="77777777" w:rsidR="00E709F5" w:rsidRDefault="00E709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5B2CB86" w14:textId="77777777" w:rsidR="00E709F5" w:rsidRPr="00193DD9" w:rsidRDefault="00E709F5" w:rsidP="00E709F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Guilherme Lemes da Silva Zimmermann</w:t>
      </w:r>
      <w:r w:rsidRPr="00193DD9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1736CFC4" w14:textId="77777777" w:rsidR="00E709F5" w:rsidRPr="00193DD9" w:rsidRDefault="00E709F5" w:rsidP="00E709F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Vinicios Rafael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Mattes</w:t>
      </w:r>
      <w:proofErr w:type="spellEnd"/>
      <w:r w:rsidRPr="00193DD9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2CCD3DE3" w14:textId="77777777" w:rsidR="00E709F5" w:rsidRPr="00193DD9" w:rsidRDefault="00E709F5" w:rsidP="00E709F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93DD9">
        <w:rPr>
          <w:rFonts w:ascii="Times New Roman" w:eastAsia="Times New Roman" w:hAnsi="Times New Roman" w:cs="Times New Roman"/>
          <w:sz w:val="24"/>
          <w:szCs w:val="24"/>
        </w:rPr>
        <w:t xml:space="preserve">Angélica Patrícia Sommer Meurer; </w:t>
      </w:r>
    </w:p>
    <w:p w14:paraId="58CC0355" w14:textId="77777777" w:rsidR="00E709F5" w:rsidRPr="00193DD9" w:rsidRDefault="00E709F5" w:rsidP="00E709F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93DD9">
        <w:rPr>
          <w:rFonts w:ascii="Times New Roman" w:eastAsia="Times New Roman" w:hAnsi="Times New Roman" w:cs="Times New Roman"/>
          <w:sz w:val="24"/>
          <w:szCs w:val="24"/>
        </w:rPr>
        <w:t xml:space="preserve">Marcel Augusto </w:t>
      </w:r>
      <w:proofErr w:type="spellStart"/>
      <w:r w:rsidRPr="00193DD9">
        <w:rPr>
          <w:rFonts w:ascii="Times New Roman" w:eastAsia="Times New Roman" w:hAnsi="Times New Roman" w:cs="Times New Roman"/>
          <w:sz w:val="24"/>
          <w:szCs w:val="24"/>
        </w:rPr>
        <w:t>Colling</w:t>
      </w:r>
      <w:proofErr w:type="spellEnd"/>
      <w:r w:rsidRPr="00193DD9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5A8B3DD" w14:textId="77777777" w:rsidR="00E709F5" w:rsidRPr="00193DD9" w:rsidRDefault="00E709F5" w:rsidP="00E709F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93DD9">
        <w:rPr>
          <w:rFonts w:ascii="Times New Roman" w:eastAsia="Times New Roman" w:hAnsi="Times New Roman" w:cs="Times New Roman"/>
          <w:sz w:val="24"/>
          <w:szCs w:val="24"/>
        </w:rPr>
        <w:t xml:space="preserve">Marciele Rosália Siveres.  </w:t>
      </w:r>
    </w:p>
    <w:p w14:paraId="73C37CC1" w14:textId="77777777" w:rsidR="00A70CC6" w:rsidRDefault="0058219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</w:p>
    <w:p w14:paraId="2244A1D9" w14:textId="23B6AC35" w:rsidR="00E709F5" w:rsidRDefault="00E709F5" w:rsidP="00F817E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u w:val="single"/>
        </w:rPr>
      </w:pPr>
      <w:hyperlink r:id="rId7" w:history="1">
        <w:r w:rsidRPr="00994D97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guizimmer132455@gmail.com</w:t>
        </w:r>
      </w:hyperlink>
      <w:r>
        <w:rPr>
          <w:rFonts w:ascii="Times New Roman" w:eastAsia="Times New Roman" w:hAnsi="Times New Roman" w:cs="Times New Roman"/>
          <w:sz w:val="24"/>
          <w:szCs w:val="24"/>
          <w:u w:val="single"/>
        </w:rPr>
        <w:t>;</w:t>
      </w:r>
    </w:p>
    <w:p w14:paraId="42B91A6F" w14:textId="77777777" w:rsidR="00F817EB" w:rsidRPr="00F817EB" w:rsidRDefault="00F817EB" w:rsidP="00F817E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12ED49DB" w14:textId="77777777" w:rsidR="00E709F5" w:rsidRDefault="00582199" w:rsidP="00E709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 INTRODUÇÃO</w:t>
      </w:r>
      <w:bookmarkStart w:id="0" w:name="_Hlk241866833"/>
      <w:bookmarkStart w:id="1" w:name="_Hlk241866981"/>
      <w:bookmarkStart w:id="2" w:name="_Hlk241866787"/>
    </w:p>
    <w:p w14:paraId="3F5D835F" w14:textId="77777777" w:rsidR="00E709F5" w:rsidRDefault="00E709F5" w:rsidP="00E709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bookmarkEnd w:id="0"/>
    <w:bookmarkEnd w:id="1"/>
    <w:p w14:paraId="44D3514A" w14:textId="77777777" w:rsidR="002E4F01" w:rsidRPr="002E4F01" w:rsidRDefault="002E4F01" w:rsidP="002E4F01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E4F01">
        <w:rPr>
          <w:rFonts w:ascii="Times New Roman" w:hAnsi="Times New Roman" w:cs="Times New Roman"/>
          <w:color w:val="000000"/>
          <w:sz w:val="24"/>
          <w:szCs w:val="24"/>
        </w:rPr>
        <w:t>Os shopping centers consolidaram-se como importantes espaços de comércio, serviços e entretenimento, apresentando expressiva expansão no Brasil nas últimas décadas (Lemos; Rosa, 2003).</w:t>
      </w:r>
    </w:p>
    <w:p w14:paraId="79E2515B" w14:textId="77777777" w:rsidR="002E4F01" w:rsidRPr="002E4F01" w:rsidRDefault="002E4F01" w:rsidP="002E4F01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E4F01">
        <w:rPr>
          <w:rFonts w:ascii="Times New Roman" w:hAnsi="Times New Roman" w:cs="Times New Roman"/>
          <w:color w:val="000000"/>
          <w:sz w:val="24"/>
          <w:szCs w:val="24"/>
        </w:rPr>
        <w:t>Inaugurado em 2024, o Shopping Catuaí Cascavel reúne empresas de diversos segmentos, como alimentação, vestuário, serviços e entretenimento. Seu mix comercial contempla grandes redes, como Renner, Riachuelo, C&amp;A e Outback, além de marcas regionais e locais (</w:t>
      </w:r>
      <w:proofErr w:type="spellStart"/>
      <w:r w:rsidRPr="002E4F01">
        <w:rPr>
          <w:rFonts w:ascii="Times New Roman" w:hAnsi="Times New Roman" w:cs="Times New Roman"/>
          <w:color w:val="000000"/>
          <w:sz w:val="24"/>
          <w:szCs w:val="24"/>
        </w:rPr>
        <w:t>ToledoNews</w:t>
      </w:r>
      <w:proofErr w:type="spellEnd"/>
      <w:r w:rsidRPr="002E4F01">
        <w:rPr>
          <w:rFonts w:ascii="Times New Roman" w:hAnsi="Times New Roman" w:cs="Times New Roman"/>
          <w:color w:val="000000"/>
          <w:sz w:val="24"/>
          <w:szCs w:val="24"/>
        </w:rPr>
        <w:t>, 2024). Essa diversidade busca atender às necessidades dos consumidores, oferecendo praticidade e variedade de produtos e serviços (Jones Lang LaSalle, 2024; Associação Brasileira de Shopping Centers – ABRASCE, 2024).</w:t>
      </w:r>
    </w:p>
    <w:p w14:paraId="7A580937" w14:textId="77777777" w:rsidR="002E4F01" w:rsidRPr="002E4F01" w:rsidRDefault="002E4F01" w:rsidP="002E4F01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E4F01">
        <w:rPr>
          <w:rFonts w:ascii="Times New Roman" w:hAnsi="Times New Roman" w:cs="Times New Roman"/>
          <w:color w:val="000000"/>
          <w:sz w:val="24"/>
          <w:szCs w:val="24"/>
        </w:rPr>
        <w:t>Nesse contexto, surge o seguinte problema de pesquisa: qual é o perfil das empresas instaladas no Shopping Catuaí Cascavel quanto aos segmentos de atuação, modelos de negócio e origem das marcas?</w:t>
      </w:r>
    </w:p>
    <w:p w14:paraId="1E66783F" w14:textId="77777777" w:rsidR="002E4F01" w:rsidRPr="002E4F01" w:rsidRDefault="002E4F01" w:rsidP="002E4F01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E4F01">
        <w:rPr>
          <w:rFonts w:ascii="Times New Roman" w:hAnsi="Times New Roman" w:cs="Times New Roman"/>
          <w:color w:val="000000"/>
          <w:sz w:val="24"/>
          <w:szCs w:val="24"/>
        </w:rPr>
        <w:t>O objetivo geral é analisar o perfil dessas empresas e sua composição comercial. Especificamente, busca-se identificar os principais segmentos, verificar a participação de redes, franquias e empresas independentes, analisar a origem das marcas e compreender a relação da composição empresarial com a dinâmica comercial regional.</w:t>
      </w:r>
    </w:p>
    <w:p w14:paraId="5C1FC6B4" w14:textId="77777777" w:rsidR="002E4F01" w:rsidRDefault="002E4F01" w:rsidP="002E4F01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E4F01">
        <w:rPr>
          <w:rFonts w:ascii="Times New Roman" w:hAnsi="Times New Roman" w:cs="Times New Roman"/>
          <w:color w:val="000000"/>
          <w:sz w:val="24"/>
          <w:szCs w:val="24"/>
        </w:rPr>
        <w:t>O estudo justifica-se pela importância dos shopping centers para o comércio varejista e pela necessidade de compreender a diversidade empresarial de um empreendimento de destaque no Oeste do Paraná, contribuindo para o conhecimento de sua estrutura comercial e inserção no mercado regional.</w:t>
      </w:r>
    </w:p>
    <w:p w14:paraId="29FA11D3" w14:textId="77777777" w:rsidR="00B1616A" w:rsidRPr="002E4F01" w:rsidRDefault="00B1616A" w:rsidP="002E4F01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bookmarkEnd w:id="2"/>
    <w:p w14:paraId="4612B570" w14:textId="77777777" w:rsidR="00A70CC6" w:rsidRDefault="0058219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 REFERENCIAL TEÓRICO</w:t>
      </w:r>
    </w:p>
    <w:p w14:paraId="56C75F54" w14:textId="77777777" w:rsidR="00A70CC6" w:rsidRDefault="00A70C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D5F83C8" w14:textId="77777777" w:rsidR="00E709F5" w:rsidRPr="00E709F5" w:rsidRDefault="00E709F5" w:rsidP="00E709F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709F5">
        <w:rPr>
          <w:rFonts w:ascii="Times New Roman" w:eastAsia="Times New Roman" w:hAnsi="Times New Roman" w:cs="Times New Roman"/>
          <w:color w:val="000000"/>
          <w:sz w:val="24"/>
          <w:szCs w:val="24"/>
        </w:rPr>
        <w:t>Os shopping centers se consolidaram como espaços fundamentais no desenvolvimento das cidades, integrando comércio, lazer e serviços em um único ambiente. Além de oferecerem conveniência e segurança aos consumidores, são considerados verdadeiros centros de convivência urbana (D’Auto, 2013).</w:t>
      </w:r>
    </w:p>
    <w:p w14:paraId="044F855F" w14:textId="77777777" w:rsidR="00E709F5" w:rsidRPr="00E709F5" w:rsidRDefault="00E709F5" w:rsidP="00E709F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709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Segundo o Banco Nacional de Desenvolvimento Econômico e Social (BNDES, 2004), os shoppings são definidos como agrupamentos planejados de lojas em um espaço único, com administração centralizada e normas padronizadas. Essa estrutura garante uma experiência mais </w:t>
      </w:r>
      <w:r w:rsidRPr="00E709F5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organizada tanto para lojistas quanto para consumidores, além de contribuir para o crescimento econômico local.</w:t>
      </w:r>
    </w:p>
    <w:p w14:paraId="79BC4EC5" w14:textId="77777777" w:rsidR="00E709F5" w:rsidRPr="00E709F5" w:rsidRDefault="00E709F5" w:rsidP="00E709F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709F5">
        <w:rPr>
          <w:rFonts w:ascii="Times New Roman" w:eastAsia="Times New Roman" w:hAnsi="Times New Roman" w:cs="Times New Roman"/>
          <w:color w:val="000000"/>
          <w:sz w:val="24"/>
          <w:szCs w:val="24"/>
        </w:rPr>
        <w:t>Além disso, o setor de shopping centers apresenta forte impacto na geração de empregos e na economia brasileira. Dados da Associação Brasileira de Shopping Centers (ABRASCE) apontam que o segmento gera mais de 1,08 milhão de empregos no país, evidenciando sua importância para o mercado de trabalho e para o desenvolvimento econômico nacional (ABRASCE, 2026).</w:t>
      </w:r>
    </w:p>
    <w:p w14:paraId="4826E3C9" w14:textId="77777777" w:rsidR="00E709F5" w:rsidRPr="00E709F5" w:rsidRDefault="00E709F5" w:rsidP="00E709F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E709F5">
        <w:rPr>
          <w:rFonts w:ascii="Times New Roman" w:eastAsia="Times New Roman" w:hAnsi="Times New Roman" w:cs="Times New Roman"/>
          <w:color w:val="000000"/>
          <w:sz w:val="24"/>
          <w:szCs w:val="24"/>
        </w:rPr>
        <w:t>Ortigoza</w:t>
      </w:r>
      <w:proofErr w:type="spellEnd"/>
      <w:r w:rsidRPr="00E709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(2010) reforça que os shoppings fazem parte da paisagem da cidade moderna, funcionando como símbolos de consumo, lazer e sociabilidade. Ela destaca que a cidade pós-moderna gira em torno do consumo, e os centros comerciais são expressões claras desse processo.</w:t>
      </w:r>
    </w:p>
    <w:p w14:paraId="16FD788E" w14:textId="77777777" w:rsidR="00E709F5" w:rsidRPr="00E709F5" w:rsidRDefault="00E709F5" w:rsidP="00E709F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709F5">
        <w:rPr>
          <w:rFonts w:ascii="Times New Roman" w:eastAsia="Times New Roman" w:hAnsi="Times New Roman" w:cs="Times New Roman"/>
          <w:color w:val="000000"/>
          <w:sz w:val="24"/>
          <w:szCs w:val="24"/>
        </w:rPr>
        <w:t>De acordo com Lima Filho (1969), os shoppings funcionam como sistemas organizados de varejo. Sua eficiência está no planejamento conjunto de lojas, na localização estratégica e na operação unificada, o que os diferencia do comércio tradicional de rua.</w:t>
      </w:r>
    </w:p>
    <w:p w14:paraId="39A10AF5" w14:textId="15068D98" w:rsidR="00A70CC6" w:rsidRDefault="00E709F5" w:rsidP="00E709F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709F5">
        <w:rPr>
          <w:rFonts w:ascii="Times New Roman" w:eastAsia="Times New Roman" w:hAnsi="Times New Roman" w:cs="Times New Roman"/>
          <w:color w:val="000000"/>
          <w:sz w:val="24"/>
          <w:szCs w:val="24"/>
        </w:rPr>
        <w:t>Dessa forma, compreender o perfil das empresas que atuam em shoppings, como o Catuaí Cascavel, auxilia a entender a lógica atual do varejo, os padrões de consumo e as transformações urbanas ligadas ao comércio moderno.</w:t>
      </w:r>
    </w:p>
    <w:p w14:paraId="722E32FD" w14:textId="77777777" w:rsidR="00A70CC6" w:rsidRDefault="00A70CC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</w:pPr>
    </w:p>
    <w:p w14:paraId="716719E1" w14:textId="77777777" w:rsidR="00A70CC6" w:rsidRDefault="005821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 PROCEDIMENTOS METODOLÓGICOS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B58C440" w14:textId="77777777" w:rsidR="00A70CC6" w:rsidRDefault="00A70CC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7C984322" w14:textId="0ED9F81F" w:rsidR="002E4F01" w:rsidRPr="002E4F01" w:rsidRDefault="002E4F01" w:rsidP="002E4F0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36"/>
          <w:sz w:val="24"/>
          <w:szCs w:val="24"/>
        </w:rPr>
      </w:pPr>
      <w:bookmarkStart w:id="3" w:name="_heading=h.gjdgxs" w:colFirst="0" w:colLast="0"/>
      <w:bookmarkEnd w:id="3"/>
      <w:r w:rsidRPr="002E4F01">
        <w:rPr>
          <w:rFonts w:ascii="Times New Roman" w:eastAsia="Times New Roman" w:hAnsi="Times New Roman" w:cs="Times New Roman"/>
          <w:kern w:val="36"/>
          <w:sz w:val="24"/>
          <w:szCs w:val="24"/>
        </w:rPr>
        <w:t>Quanto aos procedimentos técnicos, a pesquisa é classificada como bibliográfica, realizada a partir de informações públicas disponíveis em meios digitais sobre shopping centers, varejo, mix comercial, redes e franquias.</w:t>
      </w:r>
    </w:p>
    <w:p w14:paraId="78546DC1" w14:textId="77777777" w:rsidR="002E4F01" w:rsidRPr="002E4F01" w:rsidRDefault="002E4F01" w:rsidP="002E4F0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36"/>
          <w:sz w:val="24"/>
          <w:szCs w:val="24"/>
        </w:rPr>
      </w:pPr>
      <w:r w:rsidRPr="002E4F01">
        <w:rPr>
          <w:rFonts w:ascii="Times New Roman" w:eastAsia="Times New Roman" w:hAnsi="Times New Roman" w:cs="Times New Roman"/>
          <w:kern w:val="36"/>
          <w:sz w:val="24"/>
          <w:szCs w:val="24"/>
        </w:rPr>
        <w:t>O universo da pesquisa foi composto pelas empresas e operações comerciais identificadas no Shopping Catuaí Cascavel. A coleta foi realizada no site oficial do empreendimento e em outras fontes públicas disponíveis na internet, considerando apenas informações verificáveis.</w:t>
      </w:r>
    </w:p>
    <w:p w14:paraId="5A036F6F" w14:textId="77777777" w:rsidR="002E4F01" w:rsidRPr="002E4F01" w:rsidRDefault="002E4F01" w:rsidP="002E4F0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36"/>
          <w:sz w:val="24"/>
          <w:szCs w:val="24"/>
        </w:rPr>
      </w:pPr>
      <w:r w:rsidRPr="002E4F01">
        <w:rPr>
          <w:rFonts w:ascii="Times New Roman" w:eastAsia="Times New Roman" w:hAnsi="Times New Roman" w:cs="Times New Roman"/>
          <w:kern w:val="36"/>
          <w:sz w:val="24"/>
          <w:szCs w:val="24"/>
        </w:rPr>
        <w:t>Os dados foram organizados em uma planilha e classificados quanto ao segmento de atuação, modelo de negócio e abrangência da marca. Foram considerados segmentos como vestuário, alimentação, serviços, calçados, ótica, perfumaria, joalheria e eletrônicos, além da identificação de redes, franquias e empresas regionais ou locais.</w:t>
      </w:r>
    </w:p>
    <w:p w14:paraId="50D6EBEF" w14:textId="77777777" w:rsidR="002E4F01" w:rsidRPr="002E4F01" w:rsidRDefault="002E4F01" w:rsidP="002E4F0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36"/>
          <w:sz w:val="24"/>
          <w:szCs w:val="24"/>
        </w:rPr>
      </w:pPr>
      <w:r w:rsidRPr="002E4F01">
        <w:rPr>
          <w:rFonts w:ascii="Times New Roman" w:eastAsia="Times New Roman" w:hAnsi="Times New Roman" w:cs="Times New Roman"/>
          <w:kern w:val="36"/>
          <w:sz w:val="24"/>
          <w:szCs w:val="24"/>
        </w:rPr>
        <w:t>Também foram utilizados dados secundários sobre o número de operações, participação de redes e franquias, geração de empregos e fluxo de consumidores. Após a coleta, as informações foram analisadas por meio de estatística descritiva simples, utilizando frequências e percentuais, complementada por análise qualitativa dos padrões identificados.</w:t>
      </w:r>
    </w:p>
    <w:p w14:paraId="60261E44" w14:textId="77777777" w:rsidR="002E4F01" w:rsidRPr="002E4F01" w:rsidRDefault="002E4F01" w:rsidP="002E4F0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36"/>
          <w:sz w:val="24"/>
          <w:szCs w:val="24"/>
        </w:rPr>
      </w:pPr>
      <w:r w:rsidRPr="002E4F01">
        <w:rPr>
          <w:rFonts w:ascii="Times New Roman" w:eastAsia="Times New Roman" w:hAnsi="Times New Roman" w:cs="Times New Roman"/>
          <w:kern w:val="36"/>
          <w:sz w:val="24"/>
          <w:szCs w:val="24"/>
        </w:rPr>
        <w:t>Como limitação, destaca-se o uso de dados secundários disponíveis publicamente na internet, não sendo consideradas informações internas das empresas, como faturamento, desempenho comercial ou percepção de gestores e consumidores.</w:t>
      </w:r>
    </w:p>
    <w:p w14:paraId="02C547A7" w14:textId="31640CDE" w:rsidR="00A70CC6" w:rsidRDefault="00A70CC6" w:rsidP="002E4F0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</w:pPr>
    </w:p>
    <w:p w14:paraId="655A96AD" w14:textId="77777777" w:rsidR="00A70CC6" w:rsidRDefault="005821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 ANÁLISE DOS RESULTADOS</w:t>
      </w:r>
    </w:p>
    <w:p w14:paraId="5F534FDA" w14:textId="77777777" w:rsidR="00A70CC6" w:rsidRDefault="00A70CC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38A3C94" w14:textId="77777777" w:rsidR="002E4F01" w:rsidRPr="002E4F01" w:rsidRDefault="002E4F01" w:rsidP="002E4F0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4F01">
        <w:rPr>
          <w:rFonts w:ascii="Times New Roman" w:eastAsia="Times New Roman" w:hAnsi="Times New Roman" w:cs="Times New Roman"/>
          <w:sz w:val="24"/>
          <w:szCs w:val="24"/>
        </w:rPr>
        <w:t>A análise das informações obtidas por meio da pesquisa online sobre o Shopping Catuaí Cascavel permitiu identificar um perfil empresarial diversificado, composto por empresas de diferentes segmentos e marcado pela presença significativa de redes e franquias. A classificação foi realizada com base nas informações disponíveis no site oficial do empreendimento e em outras fontes públicas relacionadas ao shopping.</w:t>
      </w:r>
    </w:p>
    <w:p w14:paraId="6942BEEC" w14:textId="77777777" w:rsidR="002E4F01" w:rsidRPr="002E4F01" w:rsidRDefault="002E4F01" w:rsidP="002E4F0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4F01">
        <w:rPr>
          <w:rFonts w:ascii="Times New Roman" w:eastAsia="Times New Roman" w:hAnsi="Times New Roman" w:cs="Times New Roman"/>
          <w:sz w:val="24"/>
          <w:szCs w:val="24"/>
        </w:rPr>
        <w:t xml:space="preserve">Entre os segmentos identificados, destacam-se vestuário e moda, com grandes redes nacionais, como C&amp;A, Renner e Riachuelo; alimentação, com franquias como Outback, </w:t>
      </w:r>
      <w:r w:rsidRPr="002E4F01">
        <w:rPr>
          <w:rFonts w:ascii="Times New Roman" w:eastAsia="Times New Roman" w:hAnsi="Times New Roman" w:cs="Times New Roman"/>
          <w:sz w:val="24"/>
          <w:szCs w:val="24"/>
        </w:rPr>
        <w:lastRenderedPageBreak/>
        <w:t>McDonald’s e Subway, além de operações regionais; serviços; e estabelecimentos especializados em ótica, perfumaria, calçados, joalheria e eletrônicos.</w:t>
      </w:r>
    </w:p>
    <w:p w14:paraId="40A356AD" w14:textId="77777777" w:rsidR="002E4F01" w:rsidRPr="002E4F01" w:rsidRDefault="002E4F01" w:rsidP="002E4F0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4F01">
        <w:rPr>
          <w:rFonts w:ascii="Times New Roman" w:eastAsia="Times New Roman" w:hAnsi="Times New Roman" w:cs="Times New Roman"/>
          <w:sz w:val="24"/>
          <w:szCs w:val="24"/>
        </w:rPr>
        <w:t>Segundo a Associação Comercial e Industrial de Cascavel (ACIC), o Catuaí Shopping Cascavel possui 340 operações ativas, sendo 67% constituídas por redes ou franquias. O empreendimento também registra mais de dois mil empregos diretos nas lojas e recebe, em média, aproximadamente 400 mil visitantes por mês (ACIC, 2025). Esses dados evidenciam a participação das redes e franquias na composição empresarial e a relevância econômica e comercial do shopping para Cascavel e região.</w:t>
      </w:r>
    </w:p>
    <w:p w14:paraId="5540F6C0" w14:textId="77777777" w:rsidR="002E4F01" w:rsidRPr="002E4F01" w:rsidRDefault="002E4F01" w:rsidP="002E4F0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4F01">
        <w:rPr>
          <w:rFonts w:ascii="Times New Roman" w:eastAsia="Times New Roman" w:hAnsi="Times New Roman" w:cs="Times New Roman"/>
          <w:sz w:val="24"/>
          <w:szCs w:val="24"/>
        </w:rPr>
        <w:t>A presença conjunta de grandes redes, franquias e operações regionais ou locais contribui para a diversificação do mix comercial, ampliando a oferta de produtos e serviços aos consumidores.</w:t>
      </w:r>
    </w:p>
    <w:p w14:paraId="3846FDAA" w14:textId="77777777" w:rsidR="002E4F01" w:rsidRPr="002E4F01" w:rsidRDefault="002E4F01" w:rsidP="002E4F0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4F01">
        <w:rPr>
          <w:rFonts w:ascii="Times New Roman" w:eastAsia="Times New Roman" w:hAnsi="Times New Roman" w:cs="Times New Roman"/>
          <w:sz w:val="24"/>
          <w:szCs w:val="24"/>
        </w:rPr>
        <w:t>De maneira geral, os resultados demonstram que o Shopping Catuaí Cascavel apresenta diversidade de segmentos e forte participação de redes e franquias, além de expressiva dimensão comercial, evidenciada pelo número de operações, geração de empregos e fluxo mensal de consumidores.</w:t>
      </w:r>
    </w:p>
    <w:p w14:paraId="09A98512" w14:textId="77777777" w:rsidR="00A70CC6" w:rsidRDefault="00A70CC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762BDAF" w14:textId="77777777" w:rsidR="00A70CC6" w:rsidRDefault="005821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5 CONSIDERAÇÕES FINAIS</w:t>
      </w:r>
    </w:p>
    <w:p w14:paraId="3213BA9E" w14:textId="77777777" w:rsidR="00A70CC6" w:rsidRDefault="00A70C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6261C8E" w14:textId="77777777" w:rsidR="003B3595" w:rsidRDefault="003B3595" w:rsidP="003B359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3595">
        <w:rPr>
          <w:rFonts w:ascii="Times New Roman" w:eastAsia="Times New Roman" w:hAnsi="Times New Roman" w:cs="Times New Roman"/>
          <w:sz w:val="24"/>
          <w:szCs w:val="24"/>
        </w:rPr>
        <w:t>O presente estudo analisou a composição empresarial do Shopping Catuaí Cascavel, identificando seus principais segmentos e modelos de negócio. Os resultados demonstraram um mix diversificado, formado por redes nacionais, franquias, marcas regionais e operações locais, com destaque para vestuário e moda, alimentação, serviços e estabelecimentos especializados.</w:t>
      </w:r>
    </w:p>
    <w:p w14:paraId="24640037" w14:textId="77777777" w:rsidR="003B3595" w:rsidRPr="003B3595" w:rsidRDefault="003B3595" w:rsidP="003B359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3595">
        <w:rPr>
          <w:rFonts w:ascii="Times New Roman" w:eastAsia="Times New Roman" w:hAnsi="Times New Roman" w:cs="Times New Roman"/>
          <w:sz w:val="24"/>
          <w:szCs w:val="24"/>
        </w:rPr>
        <w:t>O empreendimento possui 340 operações ativas, sendo aproximadamente 67% constituídas por redes ou franquias, além de gerar mais de dois mil empregos diretos e receber cerca de 400 mil visitantes por mês. Esses dados evidenciam sua dimensão e relevância econômica e comercial para Cascavel e região.</w:t>
      </w:r>
    </w:p>
    <w:p w14:paraId="08266916" w14:textId="041B3F9C" w:rsidR="003B3595" w:rsidRPr="003B3595" w:rsidRDefault="003B3595" w:rsidP="003B359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3595">
        <w:rPr>
          <w:rFonts w:ascii="Times New Roman" w:eastAsia="Times New Roman" w:hAnsi="Times New Roman" w:cs="Times New Roman"/>
          <w:sz w:val="24"/>
          <w:szCs w:val="24"/>
        </w:rPr>
        <w:t>Conclui-se que o Shopping Catuaí Cascavel apresenta uma composição empresarial diversificada, com forte participação de redes e franquias, complementada por operações regionais e locais, contribuindo para a dinâmica comercial da região Oeste do Paraná.</w:t>
      </w:r>
    </w:p>
    <w:p w14:paraId="07E9D0BA" w14:textId="77777777" w:rsidR="00A70CC6" w:rsidRDefault="00A70C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FF934CE" w14:textId="77777777" w:rsidR="00A70CC6" w:rsidRDefault="0058219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REFERÊNCIAS</w:t>
      </w:r>
    </w:p>
    <w:p w14:paraId="53176419" w14:textId="77777777" w:rsidR="00E709F5" w:rsidRDefault="00E709F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5ADED20" w14:textId="77777777" w:rsidR="00E709F5" w:rsidRPr="00D625D4" w:rsidRDefault="00E709F5" w:rsidP="00E709F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25D4">
        <w:rPr>
          <w:rFonts w:ascii="Times New Roman" w:eastAsia="Times New Roman" w:hAnsi="Times New Roman" w:cs="Times New Roman"/>
          <w:sz w:val="24"/>
          <w:szCs w:val="24"/>
        </w:rPr>
        <w:t xml:space="preserve">ASSOCIAÇÃO BRASILEIRA DE SHOPPING CENTERS (ABRASCE). </w:t>
      </w:r>
      <w:r w:rsidRPr="00D625D4">
        <w:rPr>
          <w:rFonts w:ascii="Times New Roman" w:eastAsia="Times New Roman" w:hAnsi="Times New Roman" w:cs="Times New Roman"/>
          <w:b/>
          <w:bCs/>
          <w:sz w:val="24"/>
          <w:szCs w:val="24"/>
        </w:rPr>
        <w:t>Catuaí Shopping Cascavel é indicado ao GRI Awards, prêmio internacional do mercado imobiliário</w:t>
      </w:r>
      <w:r w:rsidRPr="00D625D4">
        <w:rPr>
          <w:rFonts w:ascii="Times New Roman" w:eastAsia="Times New Roman" w:hAnsi="Times New Roman" w:cs="Times New Roman"/>
          <w:sz w:val="24"/>
          <w:szCs w:val="24"/>
        </w:rPr>
        <w:t xml:space="preserve">. Espaço do Associado, 5 out. 2024. Disponível em: </w:t>
      </w:r>
      <w:hyperlink r:id="rId8" w:history="1">
        <w:r w:rsidRPr="007769D5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https://abrasce.com.br/espaco-do-associado/catuai-shopping-cascavel-e-indicado-ao-gri-awards-premio-internacional-do-mercado-imobiliario/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D625D4">
        <w:rPr>
          <w:rFonts w:ascii="Times New Roman" w:eastAsia="Times New Roman" w:hAnsi="Times New Roman" w:cs="Times New Roman"/>
          <w:sz w:val="24"/>
          <w:szCs w:val="24"/>
        </w:rPr>
        <w:t>Acesso em: 6 abr. 2025.</w:t>
      </w:r>
    </w:p>
    <w:p w14:paraId="3C6EB39A" w14:textId="77777777" w:rsidR="00E709F5" w:rsidRPr="00D625D4" w:rsidRDefault="00E709F5" w:rsidP="00E709F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25D4">
        <w:rPr>
          <w:rFonts w:ascii="Times New Roman" w:eastAsia="Times New Roman" w:hAnsi="Times New Roman" w:cs="Times New Roman"/>
          <w:sz w:val="24"/>
          <w:szCs w:val="24"/>
        </w:rPr>
        <w:t xml:space="preserve">ASSOCIAÇÃO BRASILEIRA DE SHOPPING CENTERS (ABRASCE). </w:t>
      </w:r>
      <w:r w:rsidRPr="00D625D4">
        <w:rPr>
          <w:rFonts w:ascii="Times New Roman" w:eastAsia="Times New Roman" w:hAnsi="Times New Roman" w:cs="Times New Roman"/>
          <w:b/>
          <w:bCs/>
          <w:sz w:val="24"/>
          <w:szCs w:val="24"/>
        </w:rPr>
        <w:t>Números do setor</w:t>
      </w:r>
      <w:r w:rsidRPr="00D625D4">
        <w:rPr>
          <w:rFonts w:ascii="Times New Roman" w:eastAsia="Times New Roman" w:hAnsi="Times New Roman" w:cs="Times New Roman"/>
          <w:sz w:val="24"/>
          <w:szCs w:val="24"/>
        </w:rPr>
        <w:t xml:space="preserve">. São Paulo: ABRASCE, 2026. Disponível em: </w:t>
      </w:r>
      <w:hyperlink r:id="rId9" w:history="1">
        <w:r w:rsidRPr="007769D5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https://abrasce.com.br/numeros/setor/</w:t>
        </w:r>
      </w:hyperlink>
      <w:r w:rsidRPr="00D625D4">
        <w:rPr>
          <w:rFonts w:ascii="Times New Roman" w:eastAsia="Times New Roman" w:hAnsi="Times New Roman" w:cs="Times New Roman"/>
          <w:sz w:val="24"/>
          <w:szCs w:val="24"/>
        </w:rPr>
        <w:t>. Acesso em: 1 out. 2026.</w:t>
      </w:r>
    </w:p>
    <w:p w14:paraId="7DECDFA7" w14:textId="77777777" w:rsidR="00E709F5" w:rsidRPr="00D625D4" w:rsidRDefault="00E709F5" w:rsidP="00E709F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25D4">
        <w:rPr>
          <w:rFonts w:ascii="Times New Roman" w:eastAsia="Times New Roman" w:hAnsi="Times New Roman" w:cs="Times New Roman"/>
          <w:sz w:val="24"/>
          <w:szCs w:val="24"/>
        </w:rPr>
        <w:t xml:space="preserve">ASSOCIAÇÃO COMERCIAL E INDUSTRIAL DE CASCAVEL (ACIC). </w:t>
      </w:r>
      <w:r w:rsidRPr="00D625D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Diretoria da </w:t>
      </w:r>
      <w:proofErr w:type="spellStart"/>
      <w:r w:rsidRPr="00D625D4">
        <w:rPr>
          <w:rFonts w:ascii="Times New Roman" w:eastAsia="Times New Roman" w:hAnsi="Times New Roman" w:cs="Times New Roman"/>
          <w:b/>
          <w:bCs/>
          <w:sz w:val="24"/>
          <w:szCs w:val="24"/>
        </w:rPr>
        <w:t>Acic</w:t>
      </w:r>
      <w:proofErr w:type="spellEnd"/>
      <w:r w:rsidRPr="00D625D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faz visita técnica ao Catuaí Shopping</w:t>
      </w:r>
      <w:r w:rsidRPr="00D625D4">
        <w:rPr>
          <w:rFonts w:ascii="Times New Roman" w:eastAsia="Times New Roman" w:hAnsi="Times New Roman" w:cs="Times New Roman"/>
          <w:sz w:val="24"/>
          <w:szCs w:val="24"/>
        </w:rPr>
        <w:t>. Cascavel: ACIC, 2025. Disponível em:</w:t>
      </w:r>
      <w:r w:rsidRPr="00E941F5">
        <w:t xml:space="preserve"> </w:t>
      </w:r>
      <w:hyperlink r:id="rId10" w:history="1">
        <w:r w:rsidRPr="007769D5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https://acicvel.com.br/noticia/3465</w:t>
        </w:r>
      </w:hyperlink>
      <w:r w:rsidRPr="00D625D4">
        <w:rPr>
          <w:rFonts w:ascii="Times New Roman" w:eastAsia="Times New Roman" w:hAnsi="Times New Roman" w:cs="Times New Roman"/>
          <w:sz w:val="24"/>
          <w:szCs w:val="24"/>
        </w:rPr>
        <w:t>. Acesso em: 1 out. 2026.</w:t>
      </w:r>
    </w:p>
    <w:p w14:paraId="034CF92A" w14:textId="77777777" w:rsidR="00E709F5" w:rsidRPr="00D625D4" w:rsidRDefault="00E709F5" w:rsidP="00E709F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25D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BANCO NACIONAL DE DESENVOLVIMENTO ECONÔMICO E SOCIAL (BNDES). </w:t>
      </w:r>
      <w:r w:rsidRPr="00D625D4">
        <w:rPr>
          <w:rFonts w:ascii="Times New Roman" w:eastAsia="Times New Roman" w:hAnsi="Times New Roman" w:cs="Times New Roman"/>
          <w:b/>
          <w:bCs/>
          <w:sz w:val="24"/>
          <w:szCs w:val="24"/>
        </w:rPr>
        <w:t>Caracterização da indústria de shopping centers no Brasil</w:t>
      </w:r>
      <w:r w:rsidRPr="00D625D4">
        <w:rPr>
          <w:rFonts w:ascii="Times New Roman" w:eastAsia="Times New Roman" w:hAnsi="Times New Roman" w:cs="Times New Roman"/>
          <w:sz w:val="24"/>
          <w:szCs w:val="24"/>
        </w:rPr>
        <w:t>. BNDES Setorial, Rio de Janeiro, n. 20, p. 281–298, 2004.</w:t>
      </w:r>
    </w:p>
    <w:p w14:paraId="3AFF7E86" w14:textId="77777777" w:rsidR="00E709F5" w:rsidRPr="00D625D4" w:rsidRDefault="00E709F5" w:rsidP="00E709F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25D4">
        <w:rPr>
          <w:rFonts w:ascii="Times New Roman" w:eastAsia="Times New Roman" w:hAnsi="Times New Roman" w:cs="Times New Roman"/>
          <w:sz w:val="24"/>
          <w:szCs w:val="24"/>
        </w:rPr>
        <w:t xml:space="preserve">CATUAÍ SHOPPING CASCAVEL. </w:t>
      </w:r>
      <w:r w:rsidRPr="00D625D4">
        <w:rPr>
          <w:rFonts w:ascii="Times New Roman" w:eastAsia="Times New Roman" w:hAnsi="Times New Roman" w:cs="Times New Roman"/>
          <w:b/>
          <w:bCs/>
          <w:sz w:val="24"/>
          <w:szCs w:val="24"/>
        </w:rPr>
        <w:t>O shopping</w:t>
      </w:r>
      <w:r w:rsidRPr="00D625D4">
        <w:rPr>
          <w:rFonts w:ascii="Times New Roman" w:eastAsia="Times New Roman" w:hAnsi="Times New Roman" w:cs="Times New Roman"/>
          <w:sz w:val="24"/>
          <w:szCs w:val="24"/>
        </w:rPr>
        <w:t>. Disponível em:</w:t>
      </w:r>
      <w:r w:rsidRPr="00E941F5">
        <w:t xml:space="preserve"> </w:t>
      </w:r>
      <w:hyperlink r:id="rId11" w:history="1">
        <w:r w:rsidRPr="007769D5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https://www.catuaishoppingcascavel.com.br/o-shopping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D625D4">
        <w:rPr>
          <w:rFonts w:ascii="Times New Roman" w:eastAsia="Times New Roman" w:hAnsi="Times New Roman" w:cs="Times New Roman"/>
          <w:sz w:val="24"/>
          <w:szCs w:val="24"/>
        </w:rPr>
        <w:t xml:space="preserve"> Acesso em: 6 abr. 2025.</w:t>
      </w:r>
    </w:p>
    <w:p w14:paraId="76A5B258" w14:textId="77777777" w:rsidR="00E709F5" w:rsidRPr="00D625D4" w:rsidRDefault="00E709F5" w:rsidP="00E709F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25D4">
        <w:rPr>
          <w:rFonts w:ascii="Times New Roman" w:eastAsia="Times New Roman" w:hAnsi="Times New Roman" w:cs="Times New Roman"/>
          <w:sz w:val="24"/>
          <w:szCs w:val="24"/>
        </w:rPr>
        <w:t xml:space="preserve">D’AUTO, M. F. </w:t>
      </w:r>
      <w:r w:rsidRPr="00D625D4">
        <w:rPr>
          <w:rFonts w:ascii="Times New Roman" w:eastAsia="Times New Roman" w:hAnsi="Times New Roman" w:cs="Times New Roman"/>
          <w:b/>
          <w:bCs/>
          <w:sz w:val="24"/>
          <w:szCs w:val="24"/>
        </w:rPr>
        <w:t>O desenvolvimento do setor de shopping centers no Brasil</w:t>
      </w:r>
      <w:r w:rsidRPr="00D625D4">
        <w:rPr>
          <w:rFonts w:ascii="Times New Roman" w:eastAsia="Times New Roman" w:hAnsi="Times New Roman" w:cs="Times New Roman"/>
          <w:sz w:val="24"/>
          <w:szCs w:val="24"/>
        </w:rPr>
        <w:t>. 2006. Monografia (Graduação em Ciências Econômicas) – Universidade Federal do Rio de Janeiro, Rio de Janeiro, 2006.</w:t>
      </w:r>
    </w:p>
    <w:p w14:paraId="21E8F3C5" w14:textId="77777777" w:rsidR="00E709F5" w:rsidRPr="00D625D4" w:rsidRDefault="00E709F5" w:rsidP="00E709F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41F5">
        <w:rPr>
          <w:rFonts w:ascii="Times New Roman" w:eastAsia="Times New Roman" w:hAnsi="Times New Roman" w:cs="Times New Roman"/>
          <w:sz w:val="24"/>
          <w:szCs w:val="24"/>
        </w:rPr>
        <w:t>Jones Lang LaSalle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D62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625D4">
        <w:rPr>
          <w:rFonts w:ascii="Times New Roman" w:eastAsia="Times New Roman" w:hAnsi="Times New Roman" w:cs="Times New Roman"/>
          <w:b/>
          <w:bCs/>
          <w:sz w:val="24"/>
          <w:szCs w:val="24"/>
        </w:rPr>
        <w:t>Panorama dos shopping centers no Brasil 2024</w:t>
      </w:r>
      <w:r w:rsidRPr="00D625D4">
        <w:rPr>
          <w:rFonts w:ascii="Times New Roman" w:eastAsia="Times New Roman" w:hAnsi="Times New Roman" w:cs="Times New Roman"/>
          <w:sz w:val="24"/>
          <w:szCs w:val="24"/>
        </w:rPr>
        <w:t>. São Paulo: JLL, 2024. Disponível em:</w:t>
      </w:r>
      <w:r w:rsidRPr="0017565F">
        <w:t xml:space="preserve"> </w:t>
      </w:r>
      <w:hyperlink r:id="rId12" w:history="1">
        <w:r w:rsidRPr="007769D5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https://www.jll.com/en-us/insights/panorama-shoppings-brasil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D625D4">
        <w:rPr>
          <w:rFonts w:ascii="Times New Roman" w:eastAsia="Times New Roman" w:hAnsi="Times New Roman" w:cs="Times New Roman"/>
          <w:sz w:val="24"/>
          <w:szCs w:val="24"/>
        </w:rPr>
        <w:t>Acesso em: 6 abr. 2025.</w:t>
      </w:r>
    </w:p>
    <w:p w14:paraId="00DC90C1" w14:textId="77777777" w:rsidR="00E709F5" w:rsidRPr="00D625D4" w:rsidRDefault="00E709F5" w:rsidP="00E709F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25D4">
        <w:rPr>
          <w:rFonts w:ascii="Times New Roman" w:eastAsia="Times New Roman" w:hAnsi="Times New Roman" w:cs="Times New Roman"/>
          <w:sz w:val="24"/>
          <w:szCs w:val="24"/>
        </w:rPr>
        <w:t xml:space="preserve">LEMOS, M. L. F.; ROSA, S. E. S. </w:t>
      </w:r>
      <w:r w:rsidRPr="00D625D4">
        <w:rPr>
          <w:rFonts w:ascii="Times New Roman" w:eastAsia="Times New Roman" w:hAnsi="Times New Roman" w:cs="Times New Roman"/>
          <w:b/>
          <w:bCs/>
          <w:sz w:val="24"/>
          <w:szCs w:val="24"/>
        </w:rPr>
        <w:t>O segmento de shopping centers no Brasil</w:t>
      </w:r>
      <w:r w:rsidRPr="00D625D4">
        <w:rPr>
          <w:rFonts w:ascii="Times New Roman" w:eastAsia="Times New Roman" w:hAnsi="Times New Roman" w:cs="Times New Roman"/>
          <w:sz w:val="24"/>
          <w:szCs w:val="24"/>
        </w:rPr>
        <w:t>. BNDES Setorial, Rio de Janeiro, n. 17, p. 166, mar. 2003.</w:t>
      </w:r>
    </w:p>
    <w:p w14:paraId="28A9FAD4" w14:textId="77777777" w:rsidR="00E709F5" w:rsidRPr="00D625D4" w:rsidRDefault="00E709F5" w:rsidP="00E709F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25D4">
        <w:rPr>
          <w:rFonts w:ascii="Times New Roman" w:eastAsia="Times New Roman" w:hAnsi="Times New Roman" w:cs="Times New Roman"/>
          <w:sz w:val="24"/>
          <w:szCs w:val="24"/>
        </w:rPr>
        <w:t xml:space="preserve">LIMA FILHO, A. O. </w:t>
      </w:r>
      <w:r w:rsidRPr="00D625D4">
        <w:rPr>
          <w:rFonts w:ascii="Times New Roman" w:eastAsia="Times New Roman" w:hAnsi="Times New Roman" w:cs="Times New Roman"/>
          <w:b/>
          <w:bCs/>
          <w:sz w:val="24"/>
          <w:szCs w:val="24"/>
        </w:rPr>
        <w:t>Shopping centers como novos sistemas de operação varejista</w:t>
      </w:r>
      <w:r w:rsidRPr="00D625D4">
        <w:rPr>
          <w:rFonts w:ascii="Times New Roman" w:eastAsia="Times New Roman" w:hAnsi="Times New Roman" w:cs="Times New Roman"/>
          <w:sz w:val="24"/>
          <w:szCs w:val="24"/>
        </w:rPr>
        <w:t>. Revista de Administração de Empresas, v. 9, n. 2, p. 37–49, abr./jun. 1969.</w:t>
      </w:r>
    </w:p>
    <w:p w14:paraId="0B0F3C89" w14:textId="77777777" w:rsidR="00E709F5" w:rsidRPr="00D625D4" w:rsidRDefault="00E709F5" w:rsidP="00E709F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25D4">
        <w:rPr>
          <w:rFonts w:ascii="Times New Roman" w:eastAsia="Times New Roman" w:hAnsi="Times New Roman" w:cs="Times New Roman"/>
          <w:sz w:val="24"/>
          <w:szCs w:val="24"/>
        </w:rPr>
        <w:t xml:space="preserve">ORTIGOZA, S. A. G. </w:t>
      </w:r>
      <w:r w:rsidRPr="00D625D4">
        <w:rPr>
          <w:rFonts w:ascii="Times New Roman" w:eastAsia="Times New Roman" w:hAnsi="Times New Roman" w:cs="Times New Roman"/>
          <w:b/>
          <w:bCs/>
          <w:sz w:val="24"/>
          <w:szCs w:val="24"/>
        </w:rPr>
        <w:t>Paisagens do consumo: São Paulo, Lisboa, Dubai e Seul</w:t>
      </w:r>
      <w:r w:rsidRPr="00D625D4">
        <w:rPr>
          <w:rFonts w:ascii="Times New Roman" w:eastAsia="Times New Roman" w:hAnsi="Times New Roman" w:cs="Times New Roman"/>
          <w:sz w:val="24"/>
          <w:szCs w:val="24"/>
        </w:rPr>
        <w:t>. São Paulo: Edusp, 2010.</w:t>
      </w:r>
    </w:p>
    <w:p w14:paraId="066B9663" w14:textId="3A402506" w:rsidR="00A70CC6" w:rsidRPr="003B3595" w:rsidRDefault="00E709F5" w:rsidP="003B359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25D4">
        <w:rPr>
          <w:rFonts w:ascii="Times New Roman" w:eastAsia="Times New Roman" w:hAnsi="Times New Roman" w:cs="Times New Roman"/>
          <w:sz w:val="24"/>
          <w:szCs w:val="24"/>
        </w:rPr>
        <w:t xml:space="preserve">TOLEDONEWS. </w:t>
      </w:r>
      <w:r w:rsidRPr="00D625D4">
        <w:rPr>
          <w:rFonts w:ascii="Times New Roman" w:eastAsia="Times New Roman" w:hAnsi="Times New Roman" w:cs="Times New Roman"/>
          <w:b/>
          <w:bCs/>
          <w:sz w:val="24"/>
          <w:szCs w:val="24"/>
        </w:rPr>
        <w:t>Inauguração do Catuaí Shopping Cascavel será em 1/11, trazendo 8 mil empregos e marcas exclusivas</w:t>
      </w:r>
      <w:r w:rsidRPr="00D625D4">
        <w:rPr>
          <w:rFonts w:ascii="Times New Roman" w:eastAsia="Times New Roman" w:hAnsi="Times New Roman" w:cs="Times New Roman"/>
          <w:sz w:val="24"/>
          <w:szCs w:val="24"/>
        </w:rPr>
        <w:t>. Toledo News, 22 out. 2024. Disponível em:</w:t>
      </w:r>
      <w:r w:rsidRPr="00E941F5">
        <w:t xml:space="preserve"> </w:t>
      </w:r>
      <w:hyperlink r:id="rId13" w:history="1">
        <w:r w:rsidRPr="007769D5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https://www.toledonews.com.br/noticia/inauguracao-do-catuai-shopping-cascavel-trara-geracao-de-8-mil-empregos-e-marcas-exclusivas-toledo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D625D4">
        <w:rPr>
          <w:rFonts w:ascii="Times New Roman" w:eastAsia="Times New Roman" w:hAnsi="Times New Roman" w:cs="Times New Roman"/>
          <w:sz w:val="24"/>
          <w:szCs w:val="24"/>
        </w:rPr>
        <w:t xml:space="preserve"> Acesso em: 6 abr. 2025.</w:t>
      </w:r>
    </w:p>
    <w:sectPr w:rsidR="00A70CC6" w:rsidRPr="003B3595">
      <w:headerReference w:type="default" r:id="rId14"/>
      <w:footerReference w:type="default" r:id="rId15"/>
      <w:pgSz w:w="11906" w:h="16838"/>
      <w:pgMar w:top="1417" w:right="1701" w:bottom="1417" w:left="708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415D6C" w14:textId="77777777" w:rsidR="002E1719" w:rsidRDefault="002E1719">
      <w:pPr>
        <w:spacing w:after="0" w:line="240" w:lineRule="auto"/>
      </w:pPr>
      <w:r>
        <w:separator/>
      </w:r>
    </w:p>
  </w:endnote>
  <w:endnote w:type="continuationSeparator" w:id="0">
    <w:p w14:paraId="027F36F6" w14:textId="77777777" w:rsidR="002E1719" w:rsidRDefault="002E17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659AEAD-F31D-4408-8F80-D1438E007D72}"/>
    <w:embedBold r:id="rId2" w:fontKey="{6B2F0442-8248-4AF8-9BFD-0B0606FBB1A9}"/>
    <w:embedItalic r:id="rId3" w:fontKey="{1146B304-6C63-4D49-A152-1818B4D84178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895A13DC-7DFF-4FD0-896C-2FB1084AF3A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5" w:fontKey="{84B2795A-A714-43B7-9A67-EDE78E15E443}"/>
    <w:embedItalic r:id="rId6" w:fontKey="{999B64F0-552E-4F02-8713-428D3D0608E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62D75" w14:textId="77777777" w:rsidR="00A70CC6" w:rsidRDefault="00A70CC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left="-567" w:hanging="709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16E82D" w14:textId="77777777" w:rsidR="002E1719" w:rsidRDefault="002E1719">
      <w:pPr>
        <w:spacing w:after="0" w:line="240" w:lineRule="auto"/>
      </w:pPr>
      <w:r>
        <w:separator/>
      </w:r>
    </w:p>
  </w:footnote>
  <w:footnote w:type="continuationSeparator" w:id="0">
    <w:p w14:paraId="7611E297" w14:textId="77777777" w:rsidR="002E1719" w:rsidRDefault="002E17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9EBFB" w14:textId="77777777" w:rsidR="00A70CC6" w:rsidRDefault="0058219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inline distT="114300" distB="114300" distL="114300" distR="114300" wp14:anchorId="2F0F5854" wp14:editId="7ABC4A61">
          <wp:extent cx="6029865" cy="1257300"/>
          <wp:effectExtent l="0" t="0" r="0" b="0"/>
          <wp:docPr id="157024670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29865" cy="12573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0CC6"/>
    <w:rsid w:val="002E1719"/>
    <w:rsid w:val="002E4F01"/>
    <w:rsid w:val="003B3595"/>
    <w:rsid w:val="003D494D"/>
    <w:rsid w:val="00582199"/>
    <w:rsid w:val="005D68A0"/>
    <w:rsid w:val="00962F52"/>
    <w:rsid w:val="00A70CC6"/>
    <w:rsid w:val="00B1616A"/>
    <w:rsid w:val="00DD567D"/>
    <w:rsid w:val="00E709F5"/>
    <w:rsid w:val="00F81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D3736"/>
  <w15:docId w15:val="{3AFDC3E2-E1CD-48DC-A9FA-8414D9F7E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0B8B"/>
  </w:style>
  <w:style w:type="paragraph" w:styleId="Ttulo1">
    <w:name w:val="heading 1"/>
    <w:basedOn w:val="Normal"/>
    <w:next w:val="Normal"/>
    <w:link w:val="Ttulo1Char"/>
    <w:uiPriority w:val="9"/>
    <w:qFormat/>
    <w:rsid w:val="00C00B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00B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00B8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00B8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00B8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00B8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00B8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00B8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00B8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link w:val="TtuloChar"/>
    <w:uiPriority w:val="10"/>
    <w:qFormat/>
    <w:rsid w:val="00C00B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1Char">
    <w:name w:val="Título 1 Char"/>
    <w:basedOn w:val="Fontepargpadro"/>
    <w:link w:val="Ttulo1"/>
    <w:uiPriority w:val="9"/>
    <w:rsid w:val="00C00B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00B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00B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00B8B"/>
    <w:rPr>
      <w:rFonts w:eastAsiaTheme="majorEastAsia" w:cstheme="majorBidi"/>
      <w:i/>
      <w:iCs/>
      <w:color w:val="0F4761" w:themeColor="accent1" w:themeShade="BF"/>
      <w:sz w:val="24"/>
      <w:szCs w:val="2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00B8B"/>
    <w:rPr>
      <w:rFonts w:eastAsiaTheme="majorEastAsia" w:cstheme="majorBidi"/>
      <w:color w:val="0F4761" w:themeColor="accent1" w:themeShade="BF"/>
      <w:sz w:val="24"/>
      <w:szCs w:val="21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00B8B"/>
    <w:rPr>
      <w:rFonts w:eastAsiaTheme="majorEastAsia" w:cstheme="majorBidi"/>
      <w:i/>
      <w:iCs/>
      <w:color w:val="595959" w:themeColor="text1" w:themeTint="A6"/>
      <w:sz w:val="24"/>
      <w:szCs w:val="21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00B8B"/>
    <w:rPr>
      <w:rFonts w:eastAsiaTheme="majorEastAsia" w:cstheme="majorBidi"/>
      <w:color w:val="595959" w:themeColor="text1" w:themeTint="A6"/>
      <w:sz w:val="24"/>
      <w:szCs w:val="21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00B8B"/>
    <w:rPr>
      <w:rFonts w:eastAsiaTheme="majorEastAsia" w:cstheme="majorBidi"/>
      <w:i/>
      <w:iCs/>
      <w:color w:val="272727" w:themeColor="text1" w:themeTint="D8"/>
      <w:sz w:val="24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00B8B"/>
    <w:rPr>
      <w:rFonts w:eastAsiaTheme="majorEastAsia" w:cstheme="majorBidi"/>
      <w:color w:val="272727" w:themeColor="text1" w:themeTint="D8"/>
      <w:sz w:val="24"/>
      <w:szCs w:val="21"/>
    </w:rPr>
  </w:style>
  <w:style w:type="character" w:customStyle="1" w:styleId="TtuloChar">
    <w:name w:val="Título Char"/>
    <w:basedOn w:val="Fontepargpadro"/>
    <w:link w:val="Ttulo"/>
    <w:uiPriority w:val="10"/>
    <w:rsid w:val="00C00B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pPr>
      <w:spacing w:after="160"/>
    </w:pPr>
    <w:rPr>
      <w:rFonts w:ascii="Aptos" w:eastAsia="Aptos" w:hAnsi="Aptos" w:cs="Aptos"/>
      <w:color w:val="595959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C00B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00B8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C00B8B"/>
    <w:rPr>
      <w:rFonts w:ascii="Times New Roman" w:eastAsiaTheme="minorEastAsia" w:hAnsi="Times New Roman"/>
      <w:i/>
      <w:iCs/>
      <w:color w:val="404040" w:themeColor="text1" w:themeTint="BF"/>
      <w:sz w:val="24"/>
      <w:szCs w:val="21"/>
    </w:rPr>
  </w:style>
  <w:style w:type="paragraph" w:styleId="PargrafodaLista">
    <w:name w:val="List Paragraph"/>
    <w:basedOn w:val="Normal"/>
    <w:uiPriority w:val="34"/>
    <w:qFormat/>
    <w:rsid w:val="00C00B8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C00B8B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00B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00B8B"/>
    <w:rPr>
      <w:rFonts w:ascii="Times New Roman" w:eastAsiaTheme="minorEastAsia" w:hAnsi="Times New Roman"/>
      <w:i/>
      <w:iCs/>
      <w:color w:val="0F4761" w:themeColor="accent1" w:themeShade="BF"/>
      <w:sz w:val="24"/>
      <w:szCs w:val="21"/>
    </w:rPr>
  </w:style>
  <w:style w:type="character" w:styleId="RefernciaIntensa">
    <w:name w:val="Intense Reference"/>
    <w:basedOn w:val="Fontepargpadro"/>
    <w:uiPriority w:val="32"/>
    <w:qFormat/>
    <w:rsid w:val="00C00B8B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C00B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00B8B"/>
    <w:rPr>
      <w:rFonts w:ascii="Calibri" w:eastAsia="Calibri" w:hAnsi="Calibri" w:cs="Calibri"/>
      <w:kern w:val="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C00B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00B8B"/>
    <w:rPr>
      <w:rFonts w:ascii="Calibri" w:eastAsia="Calibri" w:hAnsi="Calibri" w:cs="Calibri"/>
      <w:kern w:val="0"/>
      <w:lang w:eastAsia="pt-BR"/>
    </w:rPr>
  </w:style>
  <w:style w:type="character" w:styleId="Hyperlink">
    <w:name w:val="Hyperlink"/>
    <w:uiPriority w:val="99"/>
    <w:unhideWhenUsed/>
    <w:rsid w:val="00E709F5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brasce.com.br/espaco-do-associado/catuai-shopping-cascavel-e-indicado-ao-gri-awards-premio-internacional-do-mercado-imobiliario/" TargetMode="External"/><Relationship Id="rId13" Type="http://schemas.openxmlformats.org/officeDocument/2006/relationships/hyperlink" Target="https://www.toledonews.com.br/noticia/inauguracao-do-catuai-shopping-cascavel-trara-geracao-de-8-mil-empregos-e-marcas-exclusivas-toledo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uizimmer132455@gmail.com" TargetMode="External"/><Relationship Id="rId12" Type="http://schemas.openxmlformats.org/officeDocument/2006/relationships/hyperlink" Target="https://www.jll.com/en-us/insights/panorama-shoppings-brasi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catuaishoppingcascavel.com.br/o-shopping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acicvel.com.br/noticia/346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brasce.com.br/numeros/setor/" TargetMode="External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aRxregsL+1XgZdLONpUjRRFlqg==">CgMxLjAyCGguZ2pkZ3hzOAByITFYa0UzTXBqMGVkeGFIZktyOHJIRk1DcVFHcTBDWDVENg==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1618</Words>
  <Characters>8741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Nai Stefanello</dc:creator>
  <cp:lastModifiedBy>Guilherme Lemes da Silva Zimmermann</cp:lastModifiedBy>
  <cp:revision>4</cp:revision>
  <dcterms:created xsi:type="dcterms:W3CDTF">2026-10-03T00:24:00Z</dcterms:created>
  <dcterms:modified xsi:type="dcterms:W3CDTF">2026-10-03T00:34:00Z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55af9d5a4afcdf10829dd3a6dbdc53748acb8ebfce0f2df7f6debc62a81fdadf</vt:lpwstr>
  </property>
</Properties>
</file>