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40" w:lineRule="auto"/>
        <w:jc w:val="center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Comparação De Modelos De Linguagem De Grande Escala (</w:t>
      </w:r>
      <w:r w:rsidDel="00000000" w:rsidR="00000000" w:rsidRPr="00000000">
        <w:rPr>
          <w:b w:val="1"/>
          <w:bCs w:val="1"/>
          <w:i w:val="1"/>
          <w:iCs w:val="1"/>
          <w:sz w:val="32"/>
          <w:szCs w:val="32"/>
          <w:rtl w:val="0"/>
        </w:rPr>
        <w:t xml:space="preserve">Llms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) No Desenvolvimento De Um Tradutor Bilíngue Guarani-Português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240" w:lineRule="auto"/>
        <w:jc w:val="center"/>
        <w:rPr>
          <w:b w:val="1"/>
          <w:bCs w:val="1"/>
          <w:sz w:val="24"/>
          <w:szCs w:val="24"/>
          <w:vertAlign w:val="superscript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Tainá Leandra Dreissig¹, Matheus Albrecht Gava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, Vinicius Tessele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3</w:t>
      </w:r>
    </w:p>
    <w:p w:rsidR="00000000" w:rsidDel="00000000" w:rsidP="00000000" w:rsidRDefault="00000000" w:rsidRPr="00000000" w14:paraId="00000003">
      <w:pPr>
        <w:spacing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Faculdade Donaduzzi - Toledo/PR</w:t>
      </w:r>
    </w:p>
    <w:p w:rsidR="00000000" w:rsidDel="00000000" w:rsidP="00000000" w:rsidRDefault="00000000" w:rsidRPr="00000000" w14:paraId="00000004">
      <w:pPr>
        <w:spacing w:after="120" w:before="120" w:lineRule="auto"/>
        <w:jc w:val="center"/>
        <w:rPr>
          <w:sz w:val="16"/>
          <w:szCs w:val="16"/>
        </w:rPr>
      </w:pPr>
      <w:hyperlink r:id="rId7">
        <w:r w:rsidDel="00000000" w:rsidR="00000000" w:rsidRPr="00000000">
          <w:rPr>
            <w:rtl w:val="0"/>
          </w:rPr>
          <w:t xml:space="preserve">taina.dreissig14@gmail.com</w:t>
        </w:r>
      </w:hyperlink>
      <w:r w:rsidDel="00000000" w:rsidR="00000000" w:rsidRPr="00000000">
        <w:rPr>
          <w:rtl w:val="0"/>
        </w:rPr>
        <w:t xml:space="preserve">¹, </w:t>
      </w:r>
      <w:hyperlink r:id="rId8">
        <w:r w:rsidDel="00000000" w:rsidR="00000000" w:rsidRPr="00000000">
          <w:rPr>
            <w:rtl w:val="0"/>
          </w:rPr>
          <w:t xml:space="preserve">matheusgavadasilva97@gmail.com</w:t>
        </w:r>
      </w:hyperlink>
      <w:hyperlink r:id="rId9">
        <w:r w:rsidDel="00000000" w:rsidR="00000000" w:rsidRPr="00000000">
          <w:rPr>
            <w:vertAlign w:val="superscript"/>
            <w:rtl w:val="0"/>
          </w:rPr>
          <w:t xml:space="preserve">2</w:t>
        </w:r>
      </w:hyperlink>
      <w:r w:rsidDel="00000000" w:rsidR="00000000" w:rsidRPr="00000000">
        <w:rPr>
          <w:rtl w:val="0"/>
        </w:rPr>
        <w:t xml:space="preserve">, vinicius.tessele@bpkedu.com.br</w:t>
      </w:r>
      <w:r w:rsidDel="00000000" w:rsidR="00000000" w:rsidRPr="00000000">
        <w:rPr>
          <w:vertAlign w:val="superscript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before="120" w:lineRule="auto"/>
        <w:ind w:left="454" w:right="454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Resumo.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Este estudo compara Modelos de Linguagem de Grande Escala (LLMs) na tradução Guarani-Português, expandindo análises sobre Phi-2, Phi-3-mini e TinyLLaMA. Utilizaram-se corpus de 719 e 31.208 pares paralelos, integrando bases públicas. Foram testadas três configurações de NLLB-200-distilled-600M e TinyLLaMA com fine-tuning LoRA, avaliadas por BLEU, ROUGE-L, BERTScore e Fuzzy Matching. O NLLB-200 com corpus ampliado atingiu BLEU de 0,2107, superando os 0,170 do Phi-3-mini e 0,151 do TinyLLaMA de estudos prévios. Os resultados demonstram que modelos especializados em tradução multilíngue, somados à ampliação de dados, garantem desempenho superior para línguas de baixo recurso.</w:t>
      </w:r>
    </w:p>
    <w:p w:rsidR="00000000" w:rsidDel="00000000" w:rsidP="00000000" w:rsidRDefault="00000000" w:rsidRPr="00000000" w14:paraId="00000006">
      <w:pPr>
        <w:spacing w:after="120" w:before="120" w:lineRule="auto"/>
        <w:ind w:left="454" w:right="454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Abstract.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This study compares Large Language Models (LLMs) in Guarani-Portuguese translation, expanding on analyses of Phi-2, Phi-3-mini, and TinyLLaMA. Using corpora of 719 and 31,208 parallel pairs from public bases, the research tested configurations of NLLB-200-distilled-600M and TinyLLaMA with LoRA fine-tuning. Evaluation via BLEU, ROUGE-L, BERTScore, and Fuzzy Matching showed that NLLB-200 with an expanded corpus achieved a BLEU of 0.2107, outperforming previous results of 0.170 (Phi-3-mini) and 0.151 (TinyLLaMA). The findings demonstrate that specialized multilingual models combined with strategic data augmentation provide superior performance for low-resource languages.</w:t>
      </w:r>
    </w:p>
    <w:p w:rsidR="00000000" w:rsidDel="00000000" w:rsidP="00000000" w:rsidRDefault="00000000" w:rsidRPr="00000000" w14:paraId="00000007">
      <w:pPr>
        <w:spacing w:after="120" w:before="120" w:lineRule="auto"/>
        <w:ind w:left="454" w:right="454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before="120" w:lineRule="auto"/>
        <w:ind w:right="454"/>
        <w:jc w:val="both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1. Introdução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120" w:lineRule="auto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A língua Guarani constitui um dos principais pilares identitários dos povos indígenas do sul do Brasil, Paraguai, Bolívia e Argentina. Apesar de sua relevância histórica e sociocultural, o Guarani permanece como uma língua de baixa representação digital, com poucas ferramentas tecnológicas que apoiem seu ensino e preservação. Essa lacuna aprofunda a desigualdade tecnológica entre línguas majoritárias e minoritárias no contexto do Processamento de Linguagem Natural (PLN).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120" w:lineRule="auto"/>
        <w:ind w:firstLine="720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Estudos recentes exploraram o uso de modelos como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Phi-2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Phi-3-mini</w:t>
      </w:r>
      <w:r w:rsidDel="00000000" w:rsidR="00000000" w:rsidRPr="00000000">
        <w:rPr>
          <w:sz w:val="24"/>
          <w:szCs w:val="24"/>
          <w:rtl w:val="0"/>
        </w:rPr>
        <w:t xml:space="preserve"> e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TinyLLaMA</w:t>
      </w:r>
      <w:r w:rsidDel="00000000" w:rsidR="00000000" w:rsidRPr="00000000">
        <w:rPr>
          <w:sz w:val="24"/>
          <w:szCs w:val="24"/>
          <w:rtl w:val="0"/>
        </w:rPr>
        <w:t xml:space="preserve"> na tarefa de tradução bilíngue Guarani-Português [TESSELE et al., 2025], demonstrando a viabilidade da abordagem, mas evidenciando limitações decorrentes da escassez de dados e da escolha de modelos de linguagem geral para uma tarefa especializada [LUCAS et al., 2024; DÍAZ et al., 2025]. Nesse contexto, torna-se relevante investigar se modelos especializados em tradução multilíngue, combinados com estratégias de ampliação de corpus, produzem resultados superiores.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before="12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Este trabalho apresenta comparação entre o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NLLB-200-distilled-600M </w:t>
      </w:r>
      <w:r w:rsidDel="00000000" w:rsidR="00000000" w:rsidRPr="00000000">
        <w:rPr>
          <w:sz w:val="24"/>
          <w:szCs w:val="24"/>
          <w:rtl w:val="0"/>
        </w:rPr>
        <w:t xml:space="preserve">(Meta) e 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TinyLLaMA-1.1B-Chat-v1.0</w:t>
      </w:r>
      <w:r w:rsidDel="00000000" w:rsidR="00000000" w:rsidRPr="00000000">
        <w:rPr>
          <w:sz w:val="24"/>
          <w:szCs w:val="24"/>
          <w:rtl w:val="0"/>
        </w:rPr>
        <w:t xml:space="preserve">, avaliados com diferentes volumes de corpus e com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fine-tuning</w:t>
      </w:r>
      <w:r w:rsidDel="00000000" w:rsidR="00000000" w:rsidRPr="00000000">
        <w:rPr>
          <w:sz w:val="24"/>
          <w:szCs w:val="24"/>
          <w:rtl w:val="0"/>
        </w:rPr>
        <w:t xml:space="preserve"> via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Low-Rank Adaptation (LoRA)</w:t>
      </w:r>
      <w:r w:rsidDel="00000000" w:rsidR="00000000" w:rsidRPr="00000000">
        <w:rPr>
          <w:sz w:val="24"/>
          <w:szCs w:val="24"/>
          <w:rtl w:val="0"/>
        </w:rPr>
        <w:t xml:space="preserve">. Os resultados são contrastados com os obtidos em trabalho anterior [TESSELE et al., 2025], permitindo avaliar quais abordagens são mais eficazes para tradução automática em línguas de baixo recurso digital, como o Guarani.</w:t>
      </w:r>
    </w:p>
    <w:p w:rsidR="00000000" w:rsidDel="00000000" w:rsidP="00000000" w:rsidRDefault="00000000" w:rsidRPr="00000000" w14:paraId="0000000C">
      <w:pPr>
        <w:spacing w:before="240" w:lineRule="auto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2. Materiais e Métodos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120" w:lineRule="auto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A pesquisa caracteriza-se como aplicada, com foco em PLN para línguas de baixa representatividade digital.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24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2.1. Construção do Corpus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before="120" w:lineRule="auto"/>
        <w:ind w:firstLine="720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O corpus inicial, obtido através de um outro estudo de comparação de modelos de tradução [TESSELE et al., 2025], era composto por 719 pares paralelos PT-GN em formato JSON. Para contornar a escassez de dados, foram investigadas seis fontes públicas, das quais apenas duas resultaram em dados utilizáveis: (i) Tatoeba PT-GN, com 788 pares de frases do cotidiano; e (ii) dataset JojaJovai, com 30.855 frases jornalísticas no par Guarani-Espanhol. Como o par-alvo é PT-GN, a coluna em espanhol foi traduzida para português com o próprio modelo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NLLB-200</w:t>
      </w:r>
      <w:r w:rsidDel="00000000" w:rsidR="00000000" w:rsidRPr="00000000">
        <w:rPr>
          <w:rFonts w:ascii="Cardo" w:cs="Cardo" w:eastAsia="Cardo" w:hAnsi="Cardo"/>
          <w:sz w:val="24"/>
          <w:szCs w:val="24"/>
          <w:rtl w:val="0"/>
        </w:rPr>
        <w:t xml:space="preserve"> (ES→PT), dado que espanhol e português são bem representados no modelo. O corpus final unificado, após deduplicação, totalizou 31.208 pares paralelos, um aumento de aproximadamente 37 vezes comparado ao original.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2.2. Modelos e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Fine-tuning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before="120" w:lineRule="auto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Foram avaliadas quatro configurações, com diferentes volumes de corpus e presença ou ausência de fine-tuning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LoRA</w:t>
      </w:r>
      <w:r w:rsidDel="00000000" w:rsidR="00000000" w:rsidRPr="00000000">
        <w:rPr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before="120" w:lineRule="auto"/>
        <w:ind w:firstLine="720"/>
        <w:jc w:val="both"/>
        <w:rPr/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NLLB-200-distilled-600M</w:t>
      </w:r>
      <w:r w:rsidDel="00000000" w:rsidR="00000000" w:rsidRPr="00000000">
        <w:rPr>
          <w:sz w:val="24"/>
          <w:szCs w:val="24"/>
          <w:rtl w:val="0"/>
        </w:rPr>
        <w:t xml:space="preserve">: modelo encoder-decoder multilíngue da Meta com suporte a 200 idiomas e 600 milhões de parâmetros. Foi avaliado o corpus original, 719 pares e o corpus ampliado (31.208 pares) com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fine-tuning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LoRA</w:t>
      </w:r>
      <w:r w:rsidDel="00000000" w:rsidR="00000000" w:rsidRPr="00000000">
        <w:rPr>
          <w:sz w:val="24"/>
          <w:szCs w:val="24"/>
          <w:rtl w:val="0"/>
        </w:rPr>
        <w:t xml:space="preserve"> no corpus ampliado.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before="120" w:lineRule="auto"/>
        <w:ind w:firstLine="720"/>
        <w:jc w:val="both"/>
        <w:rPr/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TinyLLaMA-1.1B-Chat-v1.0</w:t>
      </w:r>
      <w:r w:rsidDel="00000000" w:rsidR="00000000" w:rsidRPr="00000000">
        <w:rPr>
          <w:sz w:val="24"/>
          <w:szCs w:val="24"/>
          <w:rtl w:val="0"/>
        </w:rPr>
        <w:t xml:space="preserve">: modelo causal de linguagem geral com 1,1 bilhão de parâmetros, que realiza tradução via instrução em linguagem natural. Foi avaliado com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fine-tuning LoRA </w:t>
      </w:r>
      <w:r w:rsidDel="00000000" w:rsidR="00000000" w:rsidRPr="00000000">
        <w:rPr>
          <w:sz w:val="24"/>
          <w:szCs w:val="24"/>
          <w:rtl w:val="0"/>
        </w:rPr>
        <w:t xml:space="preserve">no corpus ampliado.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12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configuração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LoRA</w:t>
      </w:r>
      <w:r w:rsidDel="00000000" w:rsidR="00000000" w:rsidRPr="00000000">
        <w:rPr>
          <w:sz w:val="24"/>
          <w:szCs w:val="24"/>
          <w:rtl w:val="0"/>
        </w:rPr>
        <w:t xml:space="preserve"> utilizada foi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rank</w:t>
      </w:r>
      <w:r w:rsidDel="00000000" w:rsidR="00000000" w:rsidRPr="00000000">
        <w:rPr>
          <w:sz w:val="24"/>
          <w:szCs w:val="24"/>
          <w:rtl w:val="0"/>
        </w:rPr>
        <w:t xml:space="preserve"> r=16,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alpha</w:t>
      </w:r>
      <w:r w:rsidDel="00000000" w:rsidR="00000000" w:rsidRPr="00000000">
        <w:rPr>
          <w:sz w:val="24"/>
          <w:szCs w:val="24"/>
          <w:rtl w:val="0"/>
        </w:rPr>
        <w:t xml:space="preserve">=32,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dropout</w:t>
      </w:r>
      <w:r w:rsidDel="00000000" w:rsidR="00000000" w:rsidRPr="00000000">
        <w:rPr>
          <w:sz w:val="24"/>
          <w:szCs w:val="24"/>
          <w:rtl w:val="0"/>
        </w:rPr>
        <w:t xml:space="preserve">=0,1, aplicada sobre as matrizes de projeção de atenção. Os hiperparâmetros de treinamento foram: 15 épocas,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learning rate</w:t>
      </w:r>
      <w:r w:rsidDel="00000000" w:rsidR="00000000" w:rsidRPr="00000000">
        <w:rPr>
          <w:sz w:val="24"/>
          <w:szCs w:val="24"/>
          <w:rtl w:val="0"/>
        </w:rPr>
        <w:t xml:space="preserve"> inicial de 3×10⁻⁴ com decaimento linear,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batch size</w:t>
      </w:r>
      <w:r w:rsidDel="00000000" w:rsidR="00000000" w:rsidRPr="00000000">
        <w:rPr>
          <w:sz w:val="24"/>
          <w:szCs w:val="24"/>
          <w:rtl w:val="0"/>
        </w:rPr>
        <w:t xml:space="preserve"> efetivo de 16, otimizador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Adafactor </w:t>
      </w:r>
      <w:r w:rsidDel="00000000" w:rsidR="00000000" w:rsidRPr="00000000">
        <w:rPr>
          <w:sz w:val="24"/>
          <w:szCs w:val="24"/>
          <w:rtl w:val="0"/>
        </w:rPr>
        <w:t xml:space="preserve">e comprimento máximo de sequência de 64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tokens </w:t>
      </w:r>
      <w:r w:rsidDel="00000000" w:rsidR="00000000" w:rsidRPr="00000000">
        <w:rPr>
          <w:sz w:val="24"/>
          <w:szCs w:val="24"/>
          <w:rtl w:val="0"/>
        </w:rPr>
        <w:t xml:space="preserve">(NLLB-200) e 128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tokens </w:t>
      </w:r>
      <w:r w:rsidDel="00000000" w:rsidR="00000000" w:rsidRPr="00000000">
        <w:rPr>
          <w:sz w:val="24"/>
          <w:szCs w:val="24"/>
          <w:rtl w:val="0"/>
        </w:rPr>
        <w:t xml:space="preserve">(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TinyLLaMA</w:t>
      </w:r>
      <w:r w:rsidDel="00000000" w:rsidR="00000000" w:rsidRPr="00000000">
        <w:rPr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015">
      <w:pPr>
        <w:spacing w:before="24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2.3. Abordagem Híbrida (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Dictionary-Augmented NMT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before="12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 paralelo ao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fine-tuning</w:t>
      </w:r>
      <w:r w:rsidDel="00000000" w:rsidR="00000000" w:rsidRPr="00000000">
        <w:rPr>
          <w:sz w:val="24"/>
          <w:szCs w:val="24"/>
          <w:rtl w:val="0"/>
        </w:rPr>
        <w:t xml:space="preserve">, foi implementada uma arquitetura híbrida em três camadas: (i) busca exata no dicionário de 31.208 pares; (ii)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Phrase Table Augmentation</w:t>
      </w:r>
      <w:r w:rsidDel="00000000" w:rsidR="00000000" w:rsidRPr="00000000">
        <w:rPr>
          <w:sz w:val="24"/>
          <w:szCs w:val="24"/>
          <w:rtl w:val="0"/>
        </w:rPr>
        <w:t xml:space="preserve">, que injeta dicas lexicais no prompt no formato [palavra=tradução]; e (iii) inferência pura do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NLLB-200</w:t>
      </w:r>
      <w:r w:rsidDel="00000000" w:rsidR="00000000" w:rsidRPr="00000000">
        <w:rPr>
          <w:sz w:val="24"/>
          <w:szCs w:val="24"/>
          <w:rtl w:val="0"/>
        </w:rPr>
        <w:t xml:space="preserve"> para entradas sem cobertura lexical. Para comparar os três modelos, foi desenvolvida uma interface com 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framework </w:t>
      </w:r>
      <w:r w:rsidDel="00000000" w:rsidR="00000000" w:rsidRPr="00000000">
        <w:rPr>
          <w:sz w:val="24"/>
          <w:szCs w:val="24"/>
          <w:rtl w:val="0"/>
        </w:rPr>
        <w:t xml:space="preserve">Gradio que permite comparar interativamente os três modos de tradução, o que é possível observar na Figura 1:</w:t>
      </w:r>
    </w:p>
    <w:p w:rsidR="00000000" w:rsidDel="00000000" w:rsidP="00000000" w:rsidRDefault="00000000" w:rsidRPr="00000000" w14:paraId="00000017">
      <w:pPr>
        <w:spacing w:after="60" w:before="12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Figura 1. Interface Web desenvolvida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before="12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4437563" cy="268445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7563" cy="26844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60" w:lineRule="auto"/>
        <w:jc w:val="center"/>
        <w:rPr/>
      </w:pPr>
      <w:r w:rsidDel="00000000" w:rsidR="00000000" w:rsidRPr="00000000">
        <w:rPr>
          <w:rtl w:val="0"/>
        </w:rPr>
        <w:t xml:space="preserve">Fonte: Os autores (2026).</w:t>
      </w:r>
    </w:p>
    <w:p w:rsidR="00000000" w:rsidDel="00000000" w:rsidP="00000000" w:rsidRDefault="00000000" w:rsidRPr="00000000" w14:paraId="0000001A">
      <w:pPr>
        <w:spacing w:after="120" w:before="60" w:lineRule="auto"/>
        <w:rPr/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A ferramenta possibilita traduções em ambos os sentidos: Português-Guarani e Guarani-Português.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before="20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2.4. Métricas de Avaliação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before="120" w:lineRule="auto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A avaliação utilizou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BLEU (SacreBLEU), ROUGE-L, BERTScore</w:t>
      </w:r>
      <w:r w:rsidDel="00000000" w:rsidR="00000000" w:rsidRPr="00000000">
        <w:rPr>
          <w:sz w:val="24"/>
          <w:szCs w:val="24"/>
          <w:rtl w:val="0"/>
        </w:rPr>
        <w:t xml:space="preserve"> e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Fuzzy Matching</w:t>
      </w:r>
      <w:r w:rsidDel="00000000" w:rsidR="00000000" w:rsidRPr="00000000">
        <w:rPr>
          <w:sz w:val="24"/>
          <w:szCs w:val="24"/>
          <w:rtl w:val="0"/>
        </w:rPr>
        <w:t xml:space="preserve">, calculadas sobre um conjunto de generalização composto por frases reais do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Tatoeba </w:t>
      </w:r>
      <w:r w:rsidDel="00000000" w:rsidR="00000000" w:rsidRPr="00000000">
        <w:rPr>
          <w:sz w:val="24"/>
          <w:szCs w:val="24"/>
          <w:rtl w:val="0"/>
        </w:rPr>
        <w:t xml:space="preserve">com mais de três palavras não vistas durante o treinamento.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before="240" w:lineRule="auto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3. Resultados e Discussão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before="24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3.1. Impacto do Volume do Corpus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before="120" w:lineRule="auto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fine-tuning</w:t>
      </w:r>
      <w:r w:rsidDel="00000000" w:rsidR="00000000" w:rsidRPr="00000000">
        <w:rPr>
          <w:sz w:val="24"/>
          <w:szCs w:val="24"/>
          <w:rtl w:val="0"/>
        </w:rPr>
        <w:t xml:space="preserve"> do modelo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NLLB-200</w:t>
      </w:r>
      <w:r w:rsidDel="00000000" w:rsidR="00000000" w:rsidRPr="00000000">
        <w:rPr>
          <w:sz w:val="24"/>
          <w:szCs w:val="24"/>
          <w:rtl w:val="0"/>
        </w:rPr>
        <w:t xml:space="preserve">, com 719 pares, obteve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BLEU </w:t>
      </w:r>
      <w:r w:rsidDel="00000000" w:rsidR="00000000" w:rsidRPr="00000000">
        <w:rPr>
          <w:sz w:val="24"/>
          <w:szCs w:val="24"/>
          <w:rtl w:val="0"/>
        </w:rPr>
        <w:t xml:space="preserve">de 0,0321, porém a curva de loss não convergiu adequadamente, permanecendo acima de 90 nas primeiras épocas, evidenciando insuficiência de dados para o vocabulário de 256 mil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tokens </w:t>
      </w:r>
      <w:r w:rsidDel="00000000" w:rsidR="00000000" w:rsidRPr="00000000">
        <w:rPr>
          <w:sz w:val="24"/>
          <w:szCs w:val="24"/>
          <w:rtl w:val="0"/>
        </w:rPr>
        <w:t xml:space="preserve">do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NLLB-200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 a ampliação para 31.208 pares, o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NLLB-200</w:t>
      </w:r>
      <w:r w:rsidDel="00000000" w:rsidR="00000000" w:rsidRPr="00000000">
        <w:rPr>
          <w:sz w:val="24"/>
          <w:szCs w:val="24"/>
          <w:rtl w:val="0"/>
        </w:rPr>
        <w:t xml:space="preserve"> com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fine-tuning</w:t>
      </w:r>
      <w:r w:rsidDel="00000000" w:rsidR="00000000" w:rsidRPr="00000000">
        <w:rPr>
          <w:sz w:val="24"/>
          <w:szCs w:val="24"/>
          <w:rtl w:val="0"/>
        </w:rPr>
        <w:t xml:space="preserve">, atingiu um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BLEU </w:t>
      </w:r>
      <w:r w:rsidDel="00000000" w:rsidR="00000000" w:rsidRPr="00000000">
        <w:rPr>
          <w:sz w:val="24"/>
          <w:szCs w:val="24"/>
          <w:rtl w:val="0"/>
        </w:rPr>
        <w:t xml:space="preserve">de </w:t>
      </w:r>
      <w:r w:rsidDel="00000000" w:rsidR="00000000" w:rsidRPr="00000000">
        <w:rPr>
          <w:sz w:val="22"/>
          <w:szCs w:val="22"/>
          <w:rtl w:val="0"/>
        </w:rPr>
        <w:t xml:space="preserve">0,2107</w:t>
      </w:r>
      <w:r w:rsidDel="00000000" w:rsidR="00000000" w:rsidRPr="00000000">
        <w:rPr>
          <w:sz w:val="24"/>
          <w:szCs w:val="24"/>
          <w:rtl w:val="0"/>
        </w:rPr>
        <w:t xml:space="preserve">, com curva de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eval loss </w:t>
      </w:r>
      <w:r w:rsidDel="00000000" w:rsidR="00000000" w:rsidRPr="00000000">
        <w:rPr>
          <w:sz w:val="24"/>
          <w:szCs w:val="24"/>
          <w:rtl w:val="0"/>
        </w:rPr>
        <w:t xml:space="preserve">convergindo de 2,26 na época 1 até 1,959 na época 13, demonstrando que o volume de dados exerce impacto superior em cenários de baixo recurso, em comparação ao resultado obtido com o dataset de 719 pares, que resultou em um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BLEU </w:t>
      </w:r>
      <w:r w:rsidDel="00000000" w:rsidR="00000000" w:rsidRPr="00000000">
        <w:rPr>
          <w:sz w:val="24"/>
          <w:szCs w:val="24"/>
          <w:rtl w:val="0"/>
        </w:rPr>
        <w:t xml:space="preserve">de 0,0321.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jc w:val="both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3.2. Comparação entre Modelos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120" w:lineRule="auto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TinyLLaMA </w:t>
      </w:r>
      <w:r w:rsidDel="00000000" w:rsidR="00000000" w:rsidRPr="00000000">
        <w:rPr>
          <w:sz w:val="24"/>
          <w:szCs w:val="24"/>
          <w:rtl w:val="0"/>
        </w:rPr>
        <w:t xml:space="preserve">com 31.208 pares obteve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BLEU </w:t>
      </w:r>
      <w:r w:rsidDel="00000000" w:rsidR="00000000" w:rsidRPr="00000000">
        <w:rPr>
          <w:sz w:val="24"/>
          <w:szCs w:val="24"/>
          <w:rtl w:val="0"/>
        </w:rPr>
        <w:t xml:space="preserve">de 0,1051 após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fine-tuning</w:t>
      </w:r>
      <w:r w:rsidDel="00000000" w:rsidR="00000000" w:rsidRPr="00000000">
        <w:rPr>
          <w:sz w:val="24"/>
          <w:szCs w:val="24"/>
          <w:rtl w:val="0"/>
        </w:rPr>
        <w:t xml:space="preserve">. Aproximadamente metade do resultado obtido pelo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NLLB-200</w:t>
      </w:r>
      <w:r w:rsidDel="00000000" w:rsidR="00000000" w:rsidRPr="00000000">
        <w:rPr>
          <w:sz w:val="24"/>
          <w:szCs w:val="24"/>
          <w:rtl w:val="0"/>
        </w:rPr>
        <w:t xml:space="preserve"> com corpus ampliado, o que é atribuído à sua natureza de modelo causal de linguagem geral sem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tokens </w:t>
      </w:r>
      <w:r w:rsidDel="00000000" w:rsidR="00000000" w:rsidRPr="00000000">
        <w:rPr>
          <w:sz w:val="24"/>
          <w:szCs w:val="24"/>
          <w:rtl w:val="0"/>
        </w:rPr>
        <w:t xml:space="preserve">de idioma especializados.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before="120" w:lineRule="auto"/>
        <w:ind w:firstLine="720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A Tabela 1 compara os resultados de todos os modelos avaliados, incluindo os de trabalhos anteriores: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60" w:before="12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Tabela 1. Comparação dos resultados de todos os modelos avaliados</w:t>
      </w:r>
      <w:r w:rsidDel="00000000" w:rsidR="00000000" w:rsidRPr="00000000">
        <w:rPr>
          <w:rtl w:val="0"/>
        </w:rPr>
      </w:r>
    </w:p>
    <w:tbl>
      <w:tblPr>
        <w:tblStyle w:val="Table1"/>
        <w:tblW w:w="8535.0" w:type="dxa"/>
        <w:jc w:val="left"/>
        <w:tblInd w:w="-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65"/>
        <w:gridCol w:w="1095"/>
        <w:gridCol w:w="1155"/>
        <w:gridCol w:w="1290"/>
        <w:gridCol w:w="1215"/>
        <w:gridCol w:w="1200"/>
        <w:gridCol w:w="1215"/>
        <w:tblGridChange w:id="0">
          <w:tblGrid>
            <w:gridCol w:w="1365"/>
            <w:gridCol w:w="1095"/>
            <w:gridCol w:w="1155"/>
            <w:gridCol w:w="1290"/>
            <w:gridCol w:w="1215"/>
            <w:gridCol w:w="1200"/>
            <w:gridCol w:w="1215"/>
          </w:tblGrid>
        </w:tblGridChange>
      </w:tblGrid>
      <w:tr>
        <w:trPr>
          <w:cantSplit w:val="0"/>
          <w:trHeight w:val="4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2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Métrica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26">
            <w:pPr>
              <w:jc w:val="center"/>
              <w:rPr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Phi-2</w:t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(719 pares)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28">
            <w:pPr>
              <w:jc w:val="center"/>
              <w:rPr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Phi-3-mini</w:t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(719 pares)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2A">
            <w:pPr>
              <w:jc w:val="center"/>
              <w:rPr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TinyLlama</w:t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(719 pares)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TinyLlama</w:t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(31k pares)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2E">
            <w:pPr>
              <w:jc w:val="center"/>
              <w:rPr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NLLB-200</w:t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(719 pares)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30">
            <w:pPr>
              <w:jc w:val="center"/>
              <w:rPr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NLLB-200</w:t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(31k pares)</w:t>
            </w:r>
          </w:p>
        </w:tc>
      </w:tr>
      <w:tr>
        <w:trPr>
          <w:cantSplit w:val="0"/>
          <w:trHeight w:val="19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32">
            <w:pPr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BLEU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3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0,167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3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0,170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3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0,151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3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0,1051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3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0,0321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3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0,2107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39">
            <w:pPr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ROUGE-L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3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0,0021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3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0,0214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3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0,0018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3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0,2823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3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0,1201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3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0,4045</w:t>
            </w:r>
          </w:p>
        </w:tc>
      </w:tr>
      <w:tr>
        <w:trPr>
          <w:cantSplit w:val="0"/>
          <w:trHeight w:val="1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40">
            <w:pPr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BERTScore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4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0,5510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4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0,5714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4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0,5530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4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0,6962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4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0,7577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4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0,7691</w:t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47">
            <w:pPr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Fuzzy Matching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4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11,37%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4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12,21%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4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10,97%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4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52,42%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4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36,34%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4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59,96%</w:t>
            </w:r>
          </w:p>
        </w:tc>
      </w:tr>
    </w:tbl>
    <w:p w:rsidR="00000000" w:rsidDel="00000000" w:rsidP="00000000" w:rsidRDefault="00000000" w:rsidRPr="00000000" w14:paraId="0000004E">
      <w:pPr>
        <w:spacing w:after="120" w:before="6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Fonte: Os autores (2026).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before="12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resultados mostram superioridade expressiva do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NLLB-200 </w:t>
      </w:r>
      <w:r w:rsidDel="00000000" w:rsidR="00000000" w:rsidRPr="00000000">
        <w:rPr>
          <w:sz w:val="24"/>
          <w:szCs w:val="24"/>
          <w:rtl w:val="0"/>
        </w:rPr>
        <w:t xml:space="preserve">frente aos modelos avaliados em trabalhos anteriores, evidenciando o impacto da ampliação do corpus no desempenho do modelo. 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NLLB-200</w:t>
      </w:r>
      <w:r w:rsidDel="00000000" w:rsidR="00000000" w:rsidRPr="00000000">
        <w:rPr>
          <w:sz w:val="24"/>
          <w:szCs w:val="24"/>
          <w:rtl w:val="0"/>
        </w:rPr>
        <w:t xml:space="preserve"> com corpus ampliado e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fine-tuning</w:t>
      </w:r>
      <w:r w:rsidDel="00000000" w:rsidR="00000000" w:rsidRPr="00000000">
        <w:rPr>
          <w:sz w:val="24"/>
          <w:szCs w:val="24"/>
          <w:rtl w:val="0"/>
        </w:rPr>
        <w:t xml:space="preserve"> atingiu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BLEU </w:t>
      </w:r>
      <w:r w:rsidDel="00000000" w:rsidR="00000000" w:rsidRPr="00000000">
        <w:rPr>
          <w:sz w:val="24"/>
          <w:szCs w:val="24"/>
          <w:rtl w:val="0"/>
        </w:rPr>
        <w:t xml:space="preserve">de 0,2107, contra </w:t>
      </w:r>
      <w:r w:rsidDel="00000000" w:rsidR="00000000" w:rsidRPr="00000000">
        <w:rPr>
          <w:sz w:val="22"/>
          <w:szCs w:val="22"/>
          <w:rtl w:val="0"/>
        </w:rPr>
        <w:t xml:space="preserve">0,1051 </w:t>
      </w:r>
      <w:r w:rsidDel="00000000" w:rsidR="00000000" w:rsidRPr="00000000">
        <w:rPr>
          <w:sz w:val="24"/>
          <w:szCs w:val="24"/>
          <w:rtl w:val="0"/>
        </w:rPr>
        <w:t xml:space="preserve">do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TinyLLaMA </w:t>
      </w:r>
      <w:r w:rsidDel="00000000" w:rsidR="00000000" w:rsidRPr="00000000">
        <w:rPr>
          <w:sz w:val="24"/>
          <w:szCs w:val="24"/>
          <w:rtl w:val="0"/>
        </w:rPr>
        <w:t xml:space="preserve">(utilizando o mesmo dataset) e os resultados obtidos na pesquisa anterior com o dataset original, com um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BLEU </w:t>
      </w:r>
      <w:r w:rsidDel="00000000" w:rsidR="00000000" w:rsidRPr="00000000">
        <w:rPr>
          <w:sz w:val="24"/>
          <w:szCs w:val="24"/>
          <w:rtl w:val="0"/>
        </w:rPr>
        <w:t xml:space="preserve">de 0,167 do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Phi-2</w:t>
      </w:r>
      <w:r w:rsidDel="00000000" w:rsidR="00000000" w:rsidRPr="00000000">
        <w:rPr>
          <w:sz w:val="24"/>
          <w:szCs w:val="24"/>
          <w:rtl w:val="0"/>
        </w:rPr>
        <w:t xml:space="preserve">, 0,170 do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Phi-3-mini</w:t>
      </w:r>
      <w:r w:rsidDel="00000000" w:rsidR="00000000" w:rsidRPr="00000000">
        <w:rPr>
          <w:sz w:val="24"/>
          <w:szCs w:val="24"/>
          <w:rtl w:val="0"/>
        </w:rPr>
        <w:t xml:space="preserve"> e 0,151 do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TinyLLaMA</w:t>
      </w:r>
      <w:r w:rsidDel="00000000" w:rsidR="00000000" w:rsidRPr="00000000">
        <w:rPr>
          <w:sz w:val="24"/>
          <w:szCs w:val="24"/>
          <w:rtl w:val="0"/>
        </w:rPr>
        <w:t xml:space="preserve">. 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Fuzzy Matching</w:t>
      </w:r>
      <w:r w:rsidDel="00000000" w:rsidR="00000000" w:rsidRPr="00000000">
        <w:rPr>
          <w:sz w:val="24"/>
          <w:szCs w:val="24"/>
          <w:rtl w:val="0"/>
        </w:rPr>
        <w:t xml:space="preserve"> do melhor modelo (59,96%) é mais de cinco vezes superior ao do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TinyLLaMA </w:t>
      </w:r>
      <w:r w:rsidDel="00000000" w:rsidR="00000000" w:rsidRPr="00000000">
        <w:rPr>
          <w:sz w:val="24"/>
          <w:szCs w:val="24"/>
          <w:rtl w:val="0"/>
        </w:rPr>
        <w:t xml:space="preserve">original (10,97%).</w:t>
      </w:r>
    </w:p>
    <w:p w:rsidR="00000000" w:rsidDel="00000000" w:rsidP="00000000" w:rsidRDefault="00000000" w:rsidRPr="00000000" w14:paraId="00000050">
      <w:pPr>
        <w:spacing w:before="12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dados apresentados na Tabela 2 demonstram a eficácia do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fine-tuning</w:t>
      </w:r>
      <w:r w:rsidDel="00000000" w:rsidR="00000000" w:rsidRPr="00000000">
        <w:rPr>
          <w:sz w:val="24"/>
          <w:szCs w:val="24"/>
          <w:rtl w:val="0"/>
        </w:rPr>
        <w:t xml:space="preserve"> aplicado ao modelo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NLLB-200 </w:t>
      </w:r>
      <w:r w:rsidDel="00000000" w:rsidR="00000000" w:rsidRPr="00000000">
        <w:rPr>
          <w:sz w:val="24"/>
          <w:szCs w:val="24"/>
          <w:rtl w:val="0"/>
        </w:rPr>
        <w:t xml:space="preserve">com o corpus ampliado:</w:t>
      </w:r>
    </w:p>
    <w:p w:rsidR="00000000" w:rsidDel="00000000" w:rsidP="00000000" w:rsidRDefault="00000000" w:rsidRPr="00000000" w14:paraId="00000051">
      <w:pPr>
        <w:spacing w:after="60" w:before="120" w:lineRule="auto"/>
        <w:jc w:val="center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Tabela 2. Comparação dos resultados do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NLLB-200 </w:t>
      </w:r>
      <w:r w:rsidDel="00000000" w:rsidR="00000000" w:rsidRPr="00000000">
        <w:rPr>
          <w:b w:val="1"/>
          <w:bCs w:val="1"/>
          <w:rtl w:val="0"/>
        </w:rPr>
        <w:t xml:space="preserve">(31k pares) após o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fine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-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tuning</w:t>
      </w:r>
      <w:r w:rsidDel="00000000" w:rsidR="00000000" w:rsidRPr="00000000">
        <w:rPr>
          <w:rtl w:val="0"/>
        </w:rPr>
      </w:r>
    </w:p>
    <w:tbl>
      <w:tblPr>
        <w:tblStyle w:val="Table2"/>
        <w:tblW w:w="8490.0" w:type="dxa"/>
        <w:jc w:val="left"/>
        <w:tblInd w:w="-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20"/>
        <w:gridCol w:w="2265"/>
        <w:gridCol w:w="2130"/>
        <w:gridCol w:w="1875"/>
        <w:tblGridChange w:id="0">
          <w:tblGrid>
            <w:gridCol w:w="2220"/>
            <w:gridCol w:w="2265"/>
            <w:gridCol w:w="2130"/>
            <w:gridCol w:w="187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52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Sentença Original (PT)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53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Tradução Esperada (GUA)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54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Tradução Predita (GUA)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55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Análise</w:t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5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Tenha um bom dia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57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Tande'araporãite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58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Eguerovy'a ko ára</w:t>
            </w:r>
          </w:p>
          <w:p w:rsidR="00000000" w:rsidDel="00000000" w:rsidP="00000000" w:rsidRDefault="00000000" w:rsidRPr="00000000" w14:paraId="00000059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5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Diferença de registro (formal ou coloquial)</w:t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5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Eu gosto de morar aqui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5C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Chegusta aiko ko’ápe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5D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Avy'a aiko ko'ápe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5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Uso de sinônimos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gustar vs. avy'a</w:t>
            </w:r>
            <w:r w:rsidDel="00000000" w:rsidR="00000000" w:rsidRPr="00000000">
              <w:rPr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É muito legal passar um tempo ao ar livre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60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Añetehápe iporã jahasa tiémpo okápe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61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Iporâiterei rehasávo yvytupe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Equivalência semântica mantida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6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Minha mãe se chama Maria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64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Che sy héra Maria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65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Che sy héra Maria</w:t>
            </w:r>
          </w:p>
          <w:p w:rsidR="00000000" w:rsidDel="00000000" w:rsidP="00000000" w:rsidRDefault="00000000" w:rsidRPr="00000000" w14:paraId="00000066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6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Correspondência Exata</w:t>
            </w:r>
          </w:p>
        </w:tc>
      </w:tr>
    </w:tbl>
    <w:p w:rsidR="00000000" w:rsidDel="00000000" w:rsidP="00000000" w:rsidRDefault="00000000" w:rsidRPr="00000000" w14:paraId="00000068">
      <w:pPr>
        <w:spacing w:after="120" w:before="60" w:lineRule="auto"/>
        <w:jc w:val="center"/>
        <w:rPr/>
      </w:pPr>
      <w:r w:rsidDel="00000000" w:rsidR="00000000" w:rsidRPr="00000000">
        <w:rPr>
          <w:rtl w:val="0"/>
        </w:rPr>
        <w:t xml:space="preserve">Fonte: Os autores (2026).</w:t>
      </w:r>
    </w:p>
    <w:p w:rsidR="00000000" w:rsidDel="00000000" w:rsidP="00000000" w:rsidRDefault="00000000" w:rsidRPr="00000000" w14:paraId="00000069">
      <w:pPr>
        <w:spacing w:before="12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Nota-se que, além de obter correspondência exata em estruturas declarativas diretas, o modelo exibe uma notável capacidade de equivalência semântica.</w:t>
      </w:r>
    </w:p>
    <w:p w:rsidR="00000000" w:rsidDel="00000000" w:rsidP="00000000" w:rsidRDefault="00000000" w:rsidRPr="00000000" w14:paraId="0000006A">
      <w:pPr>
        <w:spacing w:before="240" w:lineRule="auto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4. Conclusão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before="120" w:lineRule="auto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Este trabalho demonstrou que a combinação de um modelo especializado em tradução multilíngue (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NLLB-200</w:t>
      </w:r>
      <w:r w:rsidDel="00000000" w:rsidR="00000000" w:rsidRPr="00000000">
        <w:rPr>
          <w:sz w:val="24"/>
          <w:szCs w:val="24"/>
          <w:rtl w:val="0"/>
        </w:rPr>
        <w:t xml:space="preserve">) com a ampliação estratégica do corpus produz resultados substancialmente superiores a abordagens baseadas em modelos causais de linguagem geral para a tradução automática Guarani-Português. O volume e a diversidade dos dados de treinamento exercem impacto determinante na qualidade da tradução para línguas de baixo recurso, superando os benefícios do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fine-tuning </w:t>
      </w:r>
      <w:r w:rsidDel="00000000" w:rsidR="00000000" w:rsidRPr="00000000">
        <w:rPr>
          <w:sz w:val="24"/>
          <w:szCs w:val="24"/>
          <w:rtl w:val="0"/>
        </w:rPr>
        <w:t xml:space="preserve">isolado.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before="120" w:lineRule="auto"/>
        <w:ind w:firstLine="720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A arquitetura híbrida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Dictionary-Augmented NMT</w:t>
      </w:r>
      <w:r w:rsidDel="00000000" w:rsidR="00000000" w:rsidRPr="00000000">
        <w:rPr>
          <w:sz w:val="24"/>
          <w:szCs w:val="24"/>
          <w:rtl w:val="0"/>
        </w:rPr>
        <w:t xml:space="preserve"> demonstrou potencial para aplicações práticas, combinando precisão do dicionário com a capacidade de generalização do modelo neural. Como trabalho futuro, pretende-se expandir o corpus com novas fontes, investigar modelos ainda mais especializados e aprimorar o módulo de síntese de fala para o Guarani.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200" w:before="240" w:lineRule="auto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Referências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hanging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CHIRUZZO, Luis et al. (2020) “Jojajovai: a Guarani-Spanish parallel corpus for machine translation”. Relatório Técnico. Universidad de la República, Montevidéu. Disponível em: https://github.com/pln-fing-udelar/jojajovai.</w:t>
      </w:r>
    </w:p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hanging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COSTA-JUSSÀ, Marta R. et al. (2022) “No language left behind: Scaling human-centered machine translation”. arXiv preprint arXiv:2207.04672.</w:t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hanging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HU, Edward J. et al. (2022) “Lora: Low-rank adaptation of large language models”. Iclr, v. 1, n. 2, p. 3.  </w:t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hanging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LUCAS, Agustín et al. (2024) “Grammar-based data augmentation for low-resource languages: The case of Guarani-Spanish neural machine translation”. In: Proceedings of the 2024 Conference of the North American Chapter of the Association for Computational Linguistics: Human Language Technologies (Volume 1: Long Papers). p. 6385-6397.  </w:t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hanging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MAGER, Manuel et al. (2018) “Challenges of language technologies for the indigenous languages of the Americas”. In: Proceedings of the 27th International Conference on Computational Linguistics. p. 55-69.</w:t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hanging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TESSELE, Vinícius et al. (2025) “IA na Preservação da Língua Guarani: Um Estudo com Modelos Leves Inspirados no LLaMA em Comunidades Indígenas”. In: Congresso Latino-Americano de Software Livre e Tecnologias Abertas (Latinoware). SBC. p. 746-749.</w:t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hanging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TIEDEMANN, Jörg. (2020) “The Tatoeba Translation Challenge: Realistic Data Sets for Low Resource and Multilingual MT”. In: Proceedings of the Fifth Conference on Machine Translation (WMT). Association for Computational Linguistics. p. 1174–1182.</w:t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hanging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ZHANG, Peiyuan et al. (2024) “Tinyllama: An open-source small language model”. arXiv preprint arXiv:2401.02385.</w:t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hanging="72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1" w:type="default"/>
      <w:pgSz w:h="16838" w:w="11906" w:orient="portrait"/>
      <w:pgMar w:bottom="1418" w:top="1985" w:left="1700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i w:val="1"/>
      <w:iCs w:val="1"/>
      <w:color w:val="2e74b5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2e74b5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1f4d78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000000"/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1.png"/><Relationship Id="rId9" Type="http://schemas.openxmlformats.org/officeDocument/2006/relationships/hyperlink" Target="mailto:matheusgavadasilva97@gmail.com2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taina.dreissig14@gmail.com" TargetMode="External"/><Relationship Id="rId8" Type="http://schemas.openxmlformats.org/officeDocument/2006/relationships/hyperlink" Target="mailto:matheusgavadasilva97@gmail.com2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uNW5TwgcNViK3j05Adrtq/0oMA==">CgMxLjA4AGpJCjZzdWdnZXN0SWRJbXBvcnRmOWMwODI2YS1iNDYyLTRlNDQtODM3Yi01NDA5ZmY4ZTQzZjdfMjESD0FuZ2VsaWNhIE1ldXJlcmpICjVzdWdnZXN0SWRJbXBvcnRmOWMwODI2YS1iNDYyLTRlNDQtODM3Yi01NDA5ZmY4ZTQzZjdfORIPQW5nZWxpY2EgTWV1cmVyakgKNXN1Z2dlc3RJZEltcG9ydGY5YzA4MjZhLWI0NjItNGU0NC04MzdiLTU0MDlmZjhlNDNmN18zEg9BbmdlbGljYSBNZXVyZXJqSQo2c3VnZ2VzdElkSW1wb3J0ZjljMDgyNmEtYjQ2Mi00ZTQ0LTgzN2ItNTQwOWZmOGU0M2Y3XzE1Eg9BbmdlbGljYSBNZXVyZXJqSAo1c3VnZ2VzdElkSW1wb3J0ZjljMDgyNmEtYjQ2Mi00ZTQ0LTgzN2ItNTQwOWZmOGU0M2Y3XzUSD0FuZ2VsaWNhIE1ldXJlcmpJCjZzdWdnZXN0SWRJbXBvcnRmOWMwODI2YS1iNDYyLTRlNDQtODM3Yi01NDA5ZmY4ZTQzZjdfMTcSD0FuZ2VsaWNhIE1ldXJlcmpICjVzdWdnZXN0SWRJbXBvcnRmOWMwODI2YS1iNDYyLTRlNDQtODM3Yi01NDA5ZmY4ZTQzZjdfNxIPQW5nZWxpY2EgTWV1cmVyakkKNnN1Z2dlc3RJZEltcG9ydGY5YzA4MjZhLWI0NjItNGU0NC04MzdiLTU0MDlmZjhlNDNmN18xORIPQW5nZWxpY2EgTWV1cmVyakkKNnN1Z2dlc3RJZEltcG9ydGY5YzA4MjZhLWI0NjItNGU0NC04MzdiLTU0MDlmZjhlNDNmN18xMRIPQW5nZWxpY2EgTWV1cmVyakkKNnN1Z2dlc3RJZEltcG9ydGY5YzA4MjZhLWI0NjItNGU0NC04MzdiLTU0MDlmZjhlNDNmN18xMxIPQW5nZWxpY2EgTWV1cmVyciExaXJzakV1emtYWGQzSFZBaWNoS3hyYXFqWnpOQ1JlWk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