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08D8E37">
      <w:pPr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mallCaps/>
          <w:color w:val="ff0000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mallCaps/>
          <w:color w:val="ff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mallCaps/>
          <w:color w:val="ff0000"/>
          <w:sz w:val="24"/>
          <w:szCs w:val="24"/>
        </w:rPr>
      </w:r>
    </w:p>
    <w:p w14:paraId="5EA09A7E">
      <w:pPr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  <w:rtl w:val="0"/>
        </w:rPr>
        <w:t xml:space="preserve">LINKEDIN CORPORATIVO: PLATAFORMA DE MATCHING ENTRE COLABORADORES E VAGAS INTERNAS COM ARQUITETURA DE MICROSSERVIÇOS E RECOMENDAÇÕES BASEADAS EM IA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r>
    </w:p>
    <w:p w14:paraId="1D93B5A7">
      <w:pPr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r>
    </w:p>
    <w:p w14:paraId="33ED8AE1">
      <w:pPr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Modalidade: Resumo Expandido</w:t>
      </w:r>
      <w:r>
        <w:rPr>
          <w:rFonts w:ascii="Times New Roman" w:hAnsi="Times New Roman" w:eastAsia="Times New Roman" w:cs="Times New Roman"/>
          <w:b/>
          <w:bCs/>
          <w:smallCap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mallCaps/>
          <w:color w:val="000000"/>
          <w:sz w:val="24"/>
          <w:szCs w:val="24"/>
        </w:rPr>
      </w:r>
    </w:p>
    <w:p w14:paraId="3FC0C623">
      <w:pPr>
        <w:spacing w:after="0" w:line="240" w:lineRule="auto"/>
        <w:ind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rtl w:val="0"/>
        </w:rPr>
        <w:t xml:space="preserve">Isaac Nilson Viana;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</w:p>
    <w:p w14:paraId="0D6FC602">
      <w:pPr>
        <w:spacing w:after="0" w:line="240" w:lineRule="auto"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Matheus Arthur Bachmann;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A421671">
      <w:pPr>
        <w:spacing w:after="0" w:line="240" w:lineRule="auto"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Kauany Andressa Bloemer;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D8FEB35">
      <w:pPr>
        <w:spacing w:after="0" w:line="240" w:lineRule="auto"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Orientadora: Rosangela Carline Schemmer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D899574">
      <w:pPr>
        <w:spacing w:after="0" w:line="240" w:lineRule="auto"/>
        <w:ind/>
        <w:jc w:val="right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isaacnilsonv@gmail.com</w:t>
      </w:r>
      <w:r/>
      <w:r/>
    </w:p>
    <w:p w14:paraId="65DA95AB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1 INTRODUÇÃO</w:t>
      </w:r>
      <w:r/>
      <w:r/>
    </w:p>
    <w:p w14:paraId="12795DB4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5425A047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mobilidade interna — movimento de pessoas entre funções, equipes ou níveis por transferências e promoções — ajuda organizações a aproveitar talentos existente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s e responder a novas demandas [Ray et al. 2024]. Entretanto, a identificação de profissionais para projetos internos ainda depende de informações distribuídas, indicações informais e buscas manuais, o que reduz a visibilidade das experiências disponíveis.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4AFBF21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7A8AD4C8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Sistemas de recomendação podem comparar descrições profissionais e oportunidades para ordenar candidatos segundo sua compatibilidade textual [Bian et al. 2019]. Técnicas de aprendizado de máquina, como a similaridade semântica entre textos, podem ap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roximar perfis e oportunidades mesmo quando usam vocabulários distintos. Em decisões que envolvem pessoas, a pontuação deve apoiar a análise humana e expor seus limites, pois explicabilidade e vieses influenciam a confiança no resultado [Tang et al. 2025].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6143FCA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45E343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Este trabalho apresenta a Synapse, um protótipo funcional para publicar projetos internos, descrever perfis profissionais, apoiar a elaboração desses textos com inteligência artificial generativa e recomendar pr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ofissionais. A contribuição está na integração dos fluxos em uma aplicação única. Na versão atual, a recomendação considera a descrição do projeto e as descrições geral e de portfólio do perfil; não usa habilidades ou formação como variáveis independentes.</w:t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5D42BC1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51091CA1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2 METODOLOGIA</w:t>
      </w:r>
      <w:r/>
      <w:r/>
    </w:p>
    <w:p w14:paraId="7CB7E250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4D8364C0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pesquisa é aplicada e orientada à construção e avali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ação de um artefato de software, segundo a abordagem de ciência do design [Peffers et al. 2007]. Para fundamentar decisões, realizou-se pesquisa bibliográfica exploratória e narrativa sobre mobilidade interna, recomendação pessoa–oportunidade, explicabilid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ade e arquitetura de microsserviços. O desenvolvimento ocorreu em ciclos de especificação, implementação e verificação, com ambiente reproduzível em contêineres, prática coerente com processos incrementais de engenharia de software [Pressman e Maxim 2021].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18794F5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282AF6E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 protótipo reúne interface web, API Gateway, serviços de perfis e projetos, orquestrador de recomendação e motor de inferência. A separação acompanha os domínios e permite evoluir contratos entre componentes, embora acrescente custo 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peracional; para implantação pequena, um monólito modular também poderia atender ao fluxo [Pahl e Jamshidi 2016]. Uma conta comum pode manter perfil, publicar projetos e manifestar interesse em oportunidades de terceiros. O feed apresenta a pessoa responsá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vel e a contagem agregada de interessados, sem revelar quem demonstrou interesse; a aplicação bloqueia a manifestação no próprio projeto. Também foram integrados chat, recuperação de senha por e-mail e painel administrativo de uso dos modelos de linguagem.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32132191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93E76B3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 assistente generativo pode ser acionado na descrição do projeto, na apresent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ação profissional e nos projetos do portfólio. Ele faz perguntas para complementar o contexto e apresenta reformulações para revisão. A pessoa pode aceitar, editar ou continuar a conversa; há no máximo três versões, menos perguntas nas rodadas seguintes e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intervalo de 24 horas antes de novo uso. O texto não é publicado sem confirmação. As chamadas são feitas no servidor, por provedor configurado entre Gemini e NVIDIA, e o painel administrativo acompanha tokens de entrada e saída e suas estimativas de custo.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27D58D3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0587F5D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Antes da adoção do contrato textual atual, o projeto treinou um modelo legado com dados secundários públicos do CareerBuilder Job Recommendation C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hallenge, disponibilizados pelo Kaggle [Kaggle s.d.]. O conjunto contém identificadores codificados e registros de candidatura, que representam interação observada, não contratação nem avaliação de adequação. Esse modelo usava atributos estruturados e não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atende ao contrato atual, por isso não é apresentado como o motor de recomendação em uso. O treinamento da nova versão baseada somente em descrições permanece como próxima etapa; a seleção e preparação do conjunto de dados compatível ainda estão pendentes.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4F42DAD1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4E28F502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validação deste artigo é funcional: verificaram-se a inicialização dos serviços, a comunicação pela API e os fluxos de perfil, projeto, interesse, recomendação e mensagens. Também foram executados testes do motor textua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 de desenvolvimento. Não foram conduzidos estudo com trabalhadores, experimento controlado ou avaliação quantitativa do novo modelo. O protótipo demonstrativo utiliza contas de teste; não houve coleta primária de dados de colaboradores para esta pesquisa.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31AB8985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BC6A2F4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demonstração da plataforma utiliza contas fictícias e não coleta dados de trabalhadores. O conjunto histórico do modelo anterior é uma fonte secundária pública, com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identificadores codificados; como a documentação disponível não comprova anonimização irreversível, o texto não o caracteriza como anônimo. A Resolução CNS nº 510/2016 prevê hipóteses fora de seu escopo para pesquisas com informações de domínio público ou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bases agregadas sem identificação individual, conforme as condições da norma [Brasil 2016]. Qualquer uso de dados pessoais identificáveis exigiria avaliação ética institucional e medidas de proteção adequadas, além de conformidade com a LGPD [Brasil 2018].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02987771">
      <w:pPr>
        <w:spacing w:after="0" w:line="240" w:lineRule="auto"/>
        <w:ind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3 DESENVOLVIMENTO E RESULTADOS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14FE223B">
      <w:pPr>
        <w:spacing w:after="0" w:line="240" w:lineRule="auto"/>
        <w:ind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E233F30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 protótipo implementa o fluxo princ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ipal: cadastro de conta unificada, descrição de perfil e projeto, publicação no feed, demonstração de interesse e consulta ao ranking. O orquestrador consolida a descrição da oportunidade com a apresentação profissional e o portfólio; o motor retorna uma 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rdenação textual, enquanto o bônus de interesse é apresentado separadamente. Até que o novo artefato seja treinado e publicado, o serviço usa uma medida textual determinística para verificar a integração. Essa alternativa não demonstra qualidade preditiva.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3D23B4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37941D09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No 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mbiente local, os serviços iniciaram e responderam aos indicadores de saúde. Os testes automatizados existentes verificaram que uma descrição profissional mais próxima fica acima no ranking e que todos os perfis são retornados mesmo quando uma descrição es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tá vazia. A interface responsiva reúne feed, perfil resumido, detalhes do projeto e acesso rápido ao chat. Essas evidências sustentam a viabilidade técnica e a integração funcional, mas não permitem concluir que a ordenação seja eficaz para decisões reais.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36890078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785BA2F2">
      <w:pPr>
        <w:spacing w:after="0" w:line="240" w:lineRule="auto"/>
        <w:ind w:firstLine="708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Permanecem como limitações a ausência de avaliação com usuários, de métricas do novo motor e de análise empírica de vieses. Desc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rições mais longas podem receber vantagem e o texto gerado pode conter erros, razão pela qual a confirmação humana é necessária. O modelo legado e suas métricas pertencem a outra definição de tarefa e não são comparados diretamente ao modelo textual atual.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1F999DA2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2097DCB">
      <w:pPr>
        <w:spacing w:after="0" w:line="240" w:lineRule="auto"/>
        <w:ind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4 CONSIDERAÇÕES FINAIS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2A57406F">
      <w:pPr>
        <w:spacing w:after="0" w:line="240" w:lineRule="auto"/>
        <w:ind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0E6F651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 Synapse integro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u perfil, portfólio, projetos, feed, interesse, comunicação e assistência de escrita em um protótipo de recomendação interna. A mudança para descrições unifica a entrada do motor e delimita a próxima etapa: selecionar dados compatíveis, treinar e avaliar 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modelo textual com métricas de ordenação e análise de vieses. Também serão avaliadas sugestões de tags e habilidades, sempre sujeitas à confirmação da pessoa; seu uso na recomendação dependerá de evidência de ganho sobre a abordagem textual de referência.</w:t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313BDD37">
      <w:pPr>
        <w:spacing w:after="0" w:line="240" w:lineRule="auto"/>
        <w:ind/>
        <w:rPr/>
      </w:pPr>
      <w:r>
        <w:rPr>
          <w:rtl w:val="0"/>
        </w:rPr>
      </w:r>
      <w:r/>
      <w:r/>
    </w:p>
    <w:p w14:paraId="664C00AF">
      <w:pPr>
        <w:spacing w:after="0" w:line="240" w:lineRule="auto"/>
        <w:ind/>
        <w:rPr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 xml:space="preserve">REFERÊNCIAS</w:t>
      </w:r>
      <w:r/>
      <w:r/>
    </w:p>
    <w:p w14:paraId="322375CA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Darysha (2024). Resume-job matching dataset. Kaggle. Dataset disponível em: https://www.kaggle.com/datasets/darysha/hse-hackathon/</w:t>
      </w:r>
      <w:r/>
      <w:r/>
    </w:p>
    <w:p w14:paraId="0FA216B7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49931AE8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Gurung, P. and Abbass, J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(2026). Beyond behavioural signals: Personality-aware graph neural networks for holistic person-job fit. In 2026 ASU International Conference in Emerging Technologies for Sustainability and Intelligent Systems (ICETSIS), pages 1-6, Manama, Bahrain. IEEE.</w:t>
      </w:r>
      <w:r/>
      <w:r/>
    </w:p>
    <w:p w14:paraId="340837E4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19BD11C8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OECD (2024). Developing a resilient hr function in the french public service. Technical report, OECD Publishing, Paris.</w:t>
      </w:r>
      <w:r/>
      <w:r/>
    </w:p>
    <w:p w14:paraId="1EB33466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44D3C587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Pressman, R. S. and Maxim, B. R. (2021). Engenharia de Software: Uma Abordagem Profissional. AMGH, Porto Alegre, 9 edition.</w:t>
      </w:r>
      <w:r/>
      <w:r/>
    </w:p>
    <w:p w14:paraId="7416B35C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41675DE3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Rao, S. et al. (2024). Using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artificial intelligence for internal talent marketplaces. Technical report, Smith School of Business, Queen's University, Kingston, Canada. Smith Insights. Disponível em: https://smith.queensu.ca/insight/file/Using-AI-for-Internal-Talent-Marketplaces.pdf.</w:t>
      </w:r>
      <w:r/>
      <w:r/>
    </w:p>
    <w:p w14:paraId="786ECE9A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30FB6F13">
      <w:pPr>
        <w:spacing w:after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Ray, C., Essman, S. E., Nyberg, A. J., Ployhart, R. E., and Hale, D. (2024). Internal mobility: A review and agenda for future research. Journal of Management, 50(1):264-306.</w:t>
      </w:r>
      <w:r/>
      <w:r/>
    </w:p>
    <w:p w14:paraId="147049B9">
      <w:pPr>
        <w:spacing w:after="0" w:line="240" w:lineRule="auto"/>
        <w:ind/>
        <w:jc w:val="both"/>
        <w:rPr/>
      </w:pPr>
      <w:r>
        <w:rPr>
          <w:rtl w:val="0"/>
        </w:rPr>
      </w:r>
      <w:r/>
      <w:r/>
    </w:p>
    <w:p w14:paraId="4C11A3D1">
      <w:pPr>
        <w:spacing/>
        <w:ind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Tang, F., Zhu, R., Yao, F., Wang, J., Luo, L., and Li, B. (2025). Explainable person-job recommendations: Challenges, approaches, and comparative analysis. Frontiers in Artificial Intelligence, 8:1660548.</w:t>
      </w:r>
      <w:r/>
      <w:r/>
    </w:p>
    <w:p w14:paraId="00000035">
      <w:pPr>
        <w:spacing w:after="0" w:line="240" w:lineRule="auto"/>
        <w:ind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</w:r>
      <w:r>
        <w:rPr>
          <w:sz w:val="24"/>
          <w:szCs w:val="24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1417" w:right="1701" w:bottom="1417" w:left="1701" w:header="708" w:footer="708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lay">
    <w:panose1 w:val="05040102010807070707"/>
  </w:font>
  <w:font w:name="Arial">
    <w:panose1 w:val="020B0604020202020204"/>
  </w:font>
  <w:font w:name="Aptos">
    <w:panose1 w:val="05040102010807070707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44">
    <w:pPr>
      <w:keepNext w:val="false"/>
      <w:keepLines w:val="false"/>
      <w:widowControl w:val="true"/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hanging="709" w:left="-567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42">
    <w:pPr>
      <w:keepNext w:val="false"/>
      <w:keepLines w:val="false"/>
      <w:widowControl w:val="true"/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hanging="283" w:left="-993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5399730" cy="1130300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5399730" cy="11303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425.18pt;height:89.00pt;mso-wrap-distance-left:0.00pt;mso-wrap-distance-top:0.00pt;mso-wrap-distance-right:0.00pt;mso-wrap-distance-bottom:0.00pt;z-index:1;">
              <v:imagedata r:id="rId1" o:title="" croptop="0f" cropleft="0f" cropbottom="0f" cropright="0f"/>
              <o:lock v:ext="edit" rotation="t"/>
            </v:shape>
          </w:pict>
        </mc:Fallback>
      </mc:AlternateContent>
    </w:r>
    <w:r>
      <w:rPr>
        <w:rtl w:val="0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 w14:paraId="00000043">
    <w:pPr>
      <w:keepNext w:val="false"/>
      <w:keepLines w:val="false"/>
      <w:widowControl w:val="true"/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16"/>
    <w:link w:val="7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6"/>
    <w:link w:val="7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6"/>
    <w:link w:val="7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6"/>
    <w:link w:val="70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6"/>
    <w:link w:val="7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6"/>
    <w:link w:val="70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6"/>
    <w:link w:val="71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6"/>
    <w:link w:val="71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6"/>
    <w:link w:val="7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16"/>
    <w:link w:val="70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16"/>
    <w:link w:val="74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16"/>
    <w:link w:val="7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16"/>
    <w:link w:val="734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6"/>
    <w:link w:val="737"/>
    <w:uiPriority w:val="99"/>
    <w:pPr>
      <w:pBdr/>
      <w:spacing/>
      <w:ind/>
    </w:pPr>
  </w:style>
  <w:style w:type="character" w:styleId="179">
    <w:name w:val="Footer Char"/>
    <w:basedOn w:val="716"/>
    <w:link w:val="739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1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1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1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02">
    <w:name w:val="Heading 1"/>
    <w:basedOn w:val="712"/>
    <w:next w:val="712"/>
    <w:pPr>
      <w:keepNext w:val="true"/>
      <w:keepLines w:val="true"/>
      <w:pBdr/>
      <w:spacing w:after="80" w:before="360"/>
      <w:ind/>
    </w:pPr>
    <w:rPr>
      <w:rFonts w:ascii="Play" w:hAnsi="Play" w:eastAsia="Play" w:cs="Play"/>
      <w:color w:val="0f4761"/>
      <w:sz w:val="40"/>
      <w:szCs w:val="40"/>
    </w:rPr>
  </w:style>
  <w:style w:type="paragraph" w:styleId="703">
    <w:name w:val="Heading 2"/>
    <w:basedOn w:val="712"/>
    <w:next w:val="712"/>
    <w:pPr>
      <w:keepNext w:val="true"/>
      <w:keepLines w:val="true"/>
      <w:pBdr/>
      <w:spacing w:after="80" w:before="160"/>
      <w:ind/>
    </w:pPr>
    <w:rPr>
      <w:rFonts w:ascii="Play" w:hAnsi="Play" w:eastAsia="Play" w:cs="Play"/>
      <w:color w:val="0f4761"/>
      <w:sz w:val="32"/>
      <w:szCs w:val="32"/>
    </w:rPr>
  </w:style>
  <w:style w:type="paragraph" w:styleId="704">
    <w:name w:val="Heading 3"/>
    <w:basedOn w:val="712"/>
    <w:next w:val="712"/>
    <w:pPr>
      <w:keepNext w:val="true"/>
      <w:keepLines w:val="true"/>
      <w:pBdr/>
      <w:spacing w:after="80" w:before="160"/>
      <w:ind/>
    </w:pPr>
    <w:rPr>
      <w:rFonts w:ascii="Aptos" w:hAnsi="Aptos" w:eastAsia="Aptos" w:cs="Aptos"/>
      <w:color w:val="0f4761"/>
      <w:sz w:val="28"/>
      <w:szCs w:val="28"/>
    </w:rPr>
  </w:style>
  <w:style w:type="paragraph" w:styleId="705">
    <w:name w:val="Heading 4"/>
    <w:basedOn w:val="712"/>
    <w:next w:val="712"/>
    <w:pPr>
      <w:keepNext w:val="true"/>
      <w:keepLines w:val="true"/>
      <w:pBdr/>
      <w:spacing w:after="40" w:before="80"/>
      <w:ind/>
    </w:pPr>
    <w:rPr>
      <w:rFonts w:ascii="Aptos" w:hAnsi="Aptos" w:eastAsia="Aptos" w:cs="Aptos"/>
      <w:i/>
      <w:iCs/>
      <w:color w:val="0f4761"/>
    </w:rPr>
  </w:style>
  <w:style w:type="paragraph" w:styleId="706">
    <w:name w:val="Heading 5"/>
    <w:basedOn w:val="712"/>
    <w:next w:val="712"/>
    <w:pPr>
      <w:keepNext w:val="true"/>
      <w:keepLines w:val="true"/>
      <w:pBdr/>
      <w:spacing w:after="40" w:before="80"/>
      <w:ind/>
    </w:pPr>
    <w:rPr>
      <w:rFonts w:ascii="Aptos" w:hAnsi="Aptos" w:eastAsia="Aptos" w:cs="Aptos"/>
      <w:color w:val="0f4761"/>
    </w:rPr>
  </w:style>
  <w:style w:type="paragraph" w:styleId="707">
    <w:name w:val="Heading 6"/>
    <w:basedOn w:val="712"/>
    <w:next w:val="712"/>
    <w:pPr>
      <w:keepNext w:val="true"/>
      <w:keepLines w:val="true"/>
      <w:pBdr/>
      <w:spacing w:after="0" w:before="40"/>
      <w:ind/>
    </w:pPr>
    <w:rPr>
      <w:rFonts w:ascii="Aptos" w:hAnsi="Aptos" w:eastAsia="Aptos" w:cs="Aptos"/>
      <w:i/>
      <w:iCs/>
      <w:color w:val="595959"/>
    </w:rPr>
  </w:style>
  <w:style w:type="paragraph" w:styleId="708">
    <w:name w:val="Title"/>
    <w:basedOn w:val="712"/>
    <w:next w:val="712"/>
    <w:pPr>
      <w:pBdr/>
      <w:spacing w:after="80" w:line="240" w:lineRule="auto"/>
      <w:ind/>
    </w:pPr>
    <w:rPr>
      <w:rFonts w:ascii="Play" w:hAnsi="Play" w:eastAsia="Play" w:cs="Play"/>
      <w:sz w:val="56"/>
      <w:szCs w:val="56"/>
    </w:rPr>
  </w:style>
  <w:style w:type="table" w:styleId="711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2" w:default="1">
    <w:name w:val="Normal"/>
    <w:pPr>
      <w:pBdr/>
      <w:spacing/>
      <w:ind/>
    </w:pPr>
  </w:style>
  <w:style w:type="paragraph" w:styleId="713">
    <w:name w:val="Heading 7"/>
    <w:basedOn w:val="712"/>
    <w:next w:val="712"/>
    <w:link w:val="725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asciiTheme="minorHAnsi" w:hAnsiTheme="minorHAnsi" w:eastAsiaTheme="majorEastAsia" w:cstheme="majorBidi"/>
      <w:color w:val="595959" w:themeColor="text1" w:themeTint="00"/>
    </w:rPr>
  </w:style>
  <w:style w:type="paragraph" w:styleId="714">
    <w:name w:val="Heading 8"/>
    <w:basedOn w:val="712"/>
    <w:next w:val="712"/>
    <w:link w:val="726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asciiTheme="minorHAnsi" w:hAnsiTheme="minorHAnsi" w:eastAsiaTheme="majorEastAsia" w:cstheme="majorBidi"/>
      <w:i/>
      <w:iCs/>
      <w:color w:val="272727" w:themeColor="text1" w:themeTint="00"/>
    </w:rPr>
  </w:style>
  <w:style w:type="paragraph" w:styleId="715">
    <w:name w:val="Heading 9"/>
    <w:basedOn w:val="712"/>
    <w:next w:val="712"/>
    <w:link w:val="727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asciiTheme="minorHAnsi" w:hAnsiTheme="minorHAnsi" w:eastAsiaTheme="majorEastAsia" w:cstheme="majorBidi"/>
      <w:color w:val="272727" w:themeColor="text1" w:themeTint="00"/>
    </w:rPr>
  </w:style>
  <w:style w:type="character" w:styleId="716" w:default="1">
    <w:name w:val="Default Paragraph Font"/>
    <w:uiPriority w:val="1"/>
    <w:semiHidden/>
    <w:unhideWhenUsed/>
    <w:pPr>
      <w:pBdr/>
      <w:spacing/>
      <w:ind/>
    </w:pPr>
  </w:style>
  <w:style w:type="table" w:styleId="7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8" w:default="1">
    <w:name w:val="No List"/>
    <w:uiPriority w:val="99"/>
    <w:semiHidden/>
    <w:unhideWhenUsed/>
    <w:pPr>
      <w:pBdr/>
      <w:spacing/>
      <w:ind/>
    </w:pPr>
  </w:style>
  <w:style w:type="character" w:styleId="719" w:customStyle="1">
    <w:name w:val="Título 1 Char"/>
    <w:basedOn w:val="716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00"/>
      <w:sz w:val="40"/>
      <w:szCs w:val="40"/>
    </w:rPr>
  </w:style>
  <w:style w:type="character" w:styleId="720" w:customStyle="1">
    <w:name w:val="Título 2 Char"/>
    <w:basedOn w:val="71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00"/>
      <w:sz w:val="32"/>
      <w:szCs w:val="32"/>
    </w:rPr>
  </w:style>
  <w:style w:type="character" w:styleId="721" w:customStyle="1">
    <w:name w:val="Título 3 Char"/>
    <w:basedOn w:val="71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00"/>
      <w:sz w:val="28"/>
      <w:szCs w:val="28"/>
    </w:rPr>
  </w:style>
  <w:style w:type="character" w:styleId="722" w:customStyle="1">
    <w:name w:val="Título 4 Char"/>
    <w:basedOn w:val="716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00"/>
      <w:sz w:val="24"/>
      <w:szCs w:val="21"/>
    </w:rPr>
  </w:style>
  <w:style w:type="character" w:styleId="723" w:customStyle="1">
    <w:name w:val="Título 5 Char"/>
    <w:basedOn w:val="71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00"/>
      <w:sz w:val="24"/>
      <w:szCs w:val="21"/>
    </w:rPr>
  </w:style>
  <w:style w:type="character" w:styleId="724" w:customStyle="1">
    <w:name w:val="Título 6 Char"/>
    <w:basedOn w:val="716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00"/>
      <w:sz w:val="24"/>
      <w:szCs w:val="21"/>
    </w:rPr>
  </w:style>
  <w:style w:type="character" w:styleId="725" w:customStyle="1">
    <w:name w:val="Título 7 Char"/>
    <w:basedOn w:val="716"/>
    <w:link w:val="713"/>
    <w:uiPriority w:val="9"/>
    <w:semiHidden/>
    <w:pPr>
      <w:pBdr/>
      <w:spacing/>
      <w:ind/>
    </w:pPr>
    <w:rPr>
      <w:rFonts w:eastAsiaTheme="majorEastAsia" w:cstheme="majorBidi"/>
      <w:color w:val="595959" w:themeColor="text1" w:themeTint="00"/>
      <w:sz w:val="24"/>
      <w:szCs w:val="21"/>
    </w:rPr>
  </w:style>
  <w:style w:type="character" w:styleId="726" w:customStyle="1">
    <w:name w:val="Título 8 Char"/>
    <w:basedOn w:val="716"/>
    <w:link w:val="71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00"/>
      <w:sz w:val="24"/>
      <w:szCs w:val="21"/>
    </w:rPr>
  </w:style>
  <w:style w:type="character" w:styleId="727" w:customStyle="1">
    <w:name w:val="Título 9 Char"/>
    <w:basedOn w:val="716"/>
    <w:link w:val="715"/>
    <w:uiPriority w:val="9"/>
    <w:semiHidden/>
    <w:pPr>
      <w:pBdr/>
      <w:spacing/>
      <w:ind/>
    </w:pPr>
    <w:rPr>
      <w:rFonts w:eastAsiaTheme="majorEastAsia" w:cstheme="majorBidi"/>
      <w:color w:val="272727" w:themeColor="text1" w:themeTint="00"/>
      <w:sz w:val="24"/>
      <w:szCs w:val="21"/>
    </w:rPr>
  </w:style>
  <w:style w:type="character" w:styleId="728" w:customStyle="1">
    <w:name w:val="Título Char"/>
    <w:basedOn w:val="71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29" w:customStyle="1">
    <w:name w:val="Subtítulo Char"/>
    <w:basedOn w:val="716"/>
    <w:uiPriority w:val="11"/>
    <w:pPr>
      <w:pBdr/>
      <w:spacing/>
      <w:ind/>
    </w:pPr>
    <w:rPr>
      <w:rFonts w:eastAsiaTheme="majorEastAsia" w:cstheme="majorBidi"/>
      <w:color w:val="595959" w:themeColor="text1" w:themeTint="00"/>
      <w:spacing w:val="15"/>
      <w:sz w:val="28"/>
      <w:szCs w:val="28"/>
    </w:rPr>
  </w:style>
  <w:style w:type="paragraph" w:styleId="730">
    <w:name w:val="Quote"/>
    <w:basedOn w:val="712"/>
    <w:next w:val="712"/>
    <w:link w:val="731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00"/>
    </w:rPr>
  </w:style>
  <w:style w:type="character" w:styleId="731" w:customStyle="1">
    <w:name w:val="Citação Char"/>
    <w:basedOn w:val="716"/>
    <w:link w:val="730"/>
    <w:uiPriority w:val="29"/>
    <w:pPr>
      <w:pBdr/>
      <w:spacing/>
      <w:ind/>
    </w:pPr>
    <w:rPr>
      <w:rFonts w:ascii="Times New Roman" w:hAnsi="Times New Roman" w:eastAsiaTheme="minorEastAsia"/>
      <w:i/>
      <w:iCs/>
      <w:color w:val="404040" w:themeColor="text1" w:themeTint="00"/>
      <w:sz w:val="24"/>
      <w:szCs w:val="21"/>
    </w:rPr>
  </w:style>
  <w:style w:type="paragraph" w:styleId="732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733">
    <w:name w:val="Intense Emphasis"/>
    <w:basedOn w:val="716"/>
    <w:uiPriority w:val="21"/>
    <w:qFormat/>
    <w:pPr>
      <w:pBdr/>
      <w:spacing/>
      <w:ind/>
    </w:pPr>
    <w:rPr>
      <w:i/>
      <w:iCs/>
      <w:color w:val="0f4761" w:themeColor="accent1" w:themeShade="00"/>
    </w:rPr>
  </w:style>
  <w:style w:type="paragraph" w:styleId="734">
    <w:name w:val="Intense Quote"/>
    <w:basedOn w:val="712"/>
    <w:next w:val="712"/>
    <w:link w:val="735"/>
    <w:uiPriority w:val="30"/>
    <w:qFormat/>
    <w:pPr>
      <w:pBdr>
        <w:top w:val="single" w:color="0f4761" w:themeColor="accent1" w:themeShade="00" w:sz="4" w:space="10"/>
        <w:bottom w:val="single" w:color="0f4761" w:themeColor="accent1" w:themeShade="00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00"/>
    </w:rPr>
  </w:style>
  <w:style w:type="character" w:styleId="735" w:customStyle="1">
    <w:name w:val="Citação Intensa Char"/>
    <w:basedOn w:val="716"/>
    <w:link w:val="734"/>
    <w:uiPriority w:val="30"/>
    <w:pPr>
      <w:pBdr/>
      <w:spacing/>
      <w:ind/>
    </w:pPr>
    <w:rPr>
      <w:rFonts w:ascii="Times New Roman" w:hAnsi="Times New Roman" w:eastAsiaTheme="minorEastAsia"/>
      <w:i/>
      <w:iCs/>
      <w:color w:val="0f4761" w:themeColor="accent1" w:themeShade="00"/>
      <w:sz w:val="24"/>
      <w:szCs w:val="21"/>
    </w:rPr>
  </w:style>
  <w:style w:type="character" w:styleId="736">
    <w:name w:val="Intense Reference"/>
    <w:basedOn w:val="716"/>
    <w:uiPriority w:val="32"/>
    <w:qFormat/>
    <w:pPr>
      <w:pBdr/>
      <w:spacing/>
      <w:ind/>
    </w:pPr>
    <w:rPr>
      <w:b/>
      <w:bCs/>
      <w:smallCaps/>
      <w:color w:val="0f4761" w:themeColor="accent1" w:themeShade="00"/>
      <w:spacing w:val="5"/>
    </w:rPr>
  </w:style>
  <w:style w:type="paragraph" w:styleId="737">
    <w:name w:val="Header"/>
    <w:basedOn w:val="712"/>
    <w:link w:val="73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38" w:customStyle="1">
    <w:name w:val="Cabeçalho Char"/>
    <w:basedOn w:val="716"/>
    <w:link w:val="737"/>
    <w:uiPriority w:val="99"/>
    <w:pPr>
      <w:pBdr/>
      <w:spacing/>
      <w:ind/>
    </w:pPr>
    <w:rPr>
      <w:rFonts w:ascii="Calibri" w:hAnsi="Calibri" w:eastAsia="Calibri" w:cs="Calibri"/>
      <w:lang w:eastAsia="pt-BR"/>
    </w:rPr>
  </w:style>
  <w:style w:type="paragraph" w:styleId="739">
    <w:name w:val="Footer"/>
    <w:basedOn w:val="712"/>
    <w:link w:val="74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40" w:customStyle="1">
    <w:name w:val="Rodapé Char"/>
    <w:basedOn w:val="716"/>
    <w:link w:val="739"/>
    <w:uiPriority w:val="99"/>
    <w:pPr>
      <w:pBdr/>
      <w:spacing/>
      <w:ind/>
    </w:pPr>
    <w:rPr>
      <w:rFonts w:ascii="Calibri" w:hAnsi="Calibri" w:eastAsia="Calibri" w:cs="Calibri"/>
      <w:lang w:eastAsia="pt-BR"/>
    </w:rPr>
  </w:style>
  <w:style w:type="paragraph" w:styleId="741">
    <w:name w:val="Subtitle"/>
    <w:basedOn w:val="712"/>
    <w:next w:val="712"/>
    <w:pPr>
      <w:pBdr/>
      <w:spacing w:after="160"/>
      <w:ind/>
    </w:pPr>
    <w:rPr>
      <w:rFonts w:ascii="Aptos" w:hAnsi="Aptos" w:eastAsia="Aptos" w:cs="Aptos"/>
      <w:color w:val="595959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QMGLp6c/uxA8l5aE4wu+sLbjA==">CgMxLjA4AHIhMW0zeDc3SEpiVEZiSVRDZ01tSi1DekZFbk80d2xsbDNZ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ONLYOFFICE/10.0.0.169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 Stefanello</dc:creator>
  <cp:revision>1</cp:revision>
  <dcterms:created xsi:type="dcterms:W3CDTF">2024-09-05T20:00:00Z</dcterms:created>
  <dcterms:modified xsi:type="dcterms:W3CDTF">2026-10-19T23:13:20Z</dcterms:modified>
</cp:coreProperties>
</file>